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PROYECTO DE LEY N.° ____/2026-CR</w:t>
      </w:r>
    </w:p>
    <w:p>
      <w:pPr>
        <w:pStyle w:val="Heading1"/>
      </w:pPr>
      <w:r>
        <w:t>LEY CONTRA LA SUPLANTACIÓN DE IDENTIFICADORES TELEFÓNICOS Y MENSAJES FRAUDULENTOS</w:t>
      </w:r>
    </w:p>
    <w:p>
      <w:r>
        <w:t>El/la congresista que suscribe, ______________________, en ejercicio del derecho de iniciativa legislativa que le confiere el artículo 107 de la Constitución Política del Perú, presenta la siguiente propuesta legislativa:</w:t>
      </w:r>
    </w:p>
    <w:p>
      <w:pPr>
        <w:jc w:val="center"/>
      </w:pPr>
      <w:r>
        <w:rPr>
          <w:b/>
        </w:rPr>
        <w:t>FÓRMULA LEGAL</w:t>
        <w:br/>
      </w:r>
      <w:r>
        <w:t>EL CONGRESO DE LA REPÚBLICA</w:t>
        <w:br/>
        <w:t>Ha dado la Ley siguiente:</w:t>
        <w:br/>
      </w:r>
      <w:r>
        <w:rPr>
          <w:b/>
        </w:rPr>
        <w:t>LEY CONTRA LA SUPLANTACIÓN DE IDENTIFICADORES TELEFÓNICOS Y MENSAJES FRAUDULENTOS</w:t>
      </w:r>
    </w:p>
    <w:p>
      <w:pPr>
        <w:jc w:val="both"/>
      </w:pPr>
      <w:r>
        <w:rPr>
          <w:b/>
        </w:rPr>
        <w:t>Artículo 1. Objeto</w:t>
        <w:br/>
      </w:r>
      <w:r>
        <w:t>La presente ley tiene por objeto prevenir la suplantación de identificadores de llamada y de remitentes de mensajes de texto con fines fraudulentos, mediante obligaciones de autenticación, registro y bloqueo a cargo de las empresas operadoras de servicios públicos de telecomunicaciones.</w:t>
      </w:r>
    </w:p>
    <w:p>
      <w:pPr>
        <w:jc w:val="both"/>
      </w:pPr>
      <w:r>
        <w:rPr>
          <w:b/>
        </w:rPr>
        <w:t>Artículo 2. Definiciones</w:t>
        <w:br/>
      </w:r>
      <w:r>
        <w:t>Para efectos de la presente ley:</w:t>
        <w:br/>
        <w:t>a) Identificador de llamada: número que se presenta al usuario de destino como origen de una llamada.</w:t>
        <w:br/>
        <w:t>b) Autenticación del número de origen: procedimiento técnico que permite verificar que quien origina la llamada está autorizado a usar el identificador presentado.</w:t>
        <w:br/>
        <w:t>c) Remitente alfanumérico: identificador compuesto por letras, o letras y números, que se presenta como origen de un mensaje de texto.</w:t>
        <w:br/>
        <w:t>d) Numeración protegida: números registrados por su titular como no utilizados para llamadas salientes.</w:t>
      </w:r>
    </w:p>
    <w:p>
      <w:pPr>
        <w:jc w:val="both"/>
      </w:pPr>
      <w:r>
        <w:rPr>
          <w:b/>
        </w:rPr>
        <w:t>Artículo 3. Autenticación del identificador de llamada</w:t>
        <w:br/>
      </w:r>
      <w:r>
        <w:t>3.1. Las empresas operadoras implementan, en los tramos de protocolo de internet de sus redes e interconexiones, mecanismos de autenticación criptográfica del número de origen conforme a estándares internacionales.</w:t>
        <w:br/>
        <w:t>3.2. En los tramos que no utilizan protocolo de internet, aplican las medidas de verificación alternativas que determine el Organismo Supervisor de Inversión Privada en Telecomunicaciones (OSIPTEL).</w:t>
        <w:br/>
        <w:t>3.3. El OSIPTEL aprueba un cronograma de migración de las interconexiones a protocolo de internet.</w:t>
        <w:br/>
        <w:t>3.4. Las empresas operadoras no presentan al usuario como identificador un número no verificado sin advertencia.</w:t>
      </w:r>
    </w:p>
    <w:p>
      <w:pPr>
        <w:jc w:val="both"/>
      </w:pPr>
      <w:r>
        <w:rPr>
          <w:b/>
        </w:rPr>
        <w:t>Artículo 4. Llamadas internacionales con numeración nacional</w:t>
        <w:br/>
      </w:r>
      <w:r>
        <w:t>Las empresas operadoras bloquean o marcan como sospechosas las llamadas de origen internacional que presenten numeración nacional, salvo los casos de itinerancia, de llamadas originadas por usuarios del propio operador a través de servicios de voz sobre redes de datos y de numeración asignada a centros de contacto que el operador nacional haya validado y registrado ante el OSIPTEL.</w:t>
      </w:r>
    </w:p>
    <w:p>
      <w:pPr>
        <w:jc w:val="both"/>
      </w:pPr>
      <w:r>
        <w:rPr>
          <w:b/>
        </w:rPr>
        <w:t>Artículo 5. Registro de Remitentes de Mensajes</w:t>
        <w:br/>
      </w:r>
      <w:r>
        <w:t>5.1. Se crea el Registro de Remitentes de Mensajes, a cargo del OSIPTEL.</w:t>
        <w:br/>
        <w:t>5.2. La inscripción es voluntaria y gratuita para los remitentes. El OSIPTEL verifica que el solicitante sea titular o esté autorizado a usar la denominación del remitente y rechaza los identificadores confundibles con los de entidades financieras o públicas.</w:t>
        <w:br/>
        <w:t>5.3. Las empresas operadoras solo cursan como verificados los mensajes con remitentes alfanuméricos inscritos; los no inscritos se bloquean o se etiquetan como no verificados, conforme a lo que disponga el OSIPTEL.</w:t>
      </w:r>
    </w:p>
    <w:p>
      <w:pPr>
        <w:jc w:val="both"/>
      </w:pPr>
      <w:r>
        <w:rPr>
          <w:b/>
        </w:rPr>
        <w:t>Artículo 6. Canal de reporte ciudadano y bloqueo verificado</w:t>
        <w:br/>
      </w:r>
      <w:r>
        <w:t>6.1. El OSIPTEL habilita un canal gratuito, accesible por mensaje de texto, web y aplicación, para que los usuarios reporten números y mensajes presuntamente fraudulentos.</w:t>
        <w:br/>
        <w:t>6.2. El bloqueo requiere la verificación técnica de patrones de tráfico o una pluralidad de reportes independientes, conforme a criterios publicados por el OSIPTEL. El titular del número bloqueado es notificado y puede solicitar el desbloqueo, que se resuelve en un plazo máximo de dos días hábiles.</w:t>
        <w:br/>
        <w:t>6.3. Los reportes verificados se comparten con las empresas operadoras para su bloqueo y con el Ministerio Público y la Policía Nacional del Perú para fines de investigación.</w:t>
      </w:r>
    </w:p>
    <w:p>
      <w:pPr>
        <w:jc w:val="both"/>
      </w:pPr>
      <w:r>
        <w:rPr>
          <w:b/>
        </w:rPr>
        <w:t>Artículo 7. Lista de numeración protegida</w:t>
        <w:br/>
      </w:r>
      <w:r>
        <w:t>7.1. Las entidades financieras y las entidades públicas pueden registrar ante el OSIPTEL los números que no utilizan para llamadas salientes; las empresas operadoras bloquean, en un plazo máximo de cuarenta y ocho horas desde cada actualización, las llamadas que presenten dichos números como identificador.</w:t>
        <w:br/>
        <w:t>7.2. Las entidades registrantes mantienen actualizada la lista y responden por los efectos de registrar números que sí utilizan para llamadas salientes.</w:t>
        <w:br/>
        <w:t>7.3. El Ministerio de Transportes y Comunicaciones adecúa el Plan Técnico Fundamental de Numeración para la implementación de la presente ley.</w:t>
      </w:r>
    </w:p>
    <w:p>
      <w:pPr>
        <w:jc w:val="both"/>
      </w:pPr>
      <w:r>
        <w:rPr>
          <w:b/>
        </w:rPr>
        <w:t>Artículo 8. Protección de datos y secreto de las comunicaciones</w:t>
        <w:br/>
      </w:r>
      <w:r>
        <w:t>El tratamiento de datos derivado de la presente ley se sujeta a la Ley 29733, Ley de Protección de Datos Personales, se limita a la finalidad de prevención del fraude, se basa exclusivamente en datos de señalización y no habilita el acceso, la interceptación ni el análisis del contenido de las comunicaciones.</w:t>
      </w:r>
    </w:p>
    <w:p>
      <w:pPr>
        <w:jc w:val="both"/>
      </w:pPr>
      <w:r>
        <w:rPr>
          <w:b/>
        </w:rPr>
        <w:t>Artículo 9. Infracciones y sanciones</w:t>
        <w:br/>
      </w:r>
      <w:r>
        <w:t>9.1. Constituye infracción grave de las empresas operadoras el incumplimiento de los artículos 3, 4, 5.3, 6.2 en lo que les corresponda y 7.1. Su reiteración dentro de un año constituye infracción muy grave.</w:t>
        <w:br/>
        <w:t>9.2. El OSIPTEL supervisa y sanciona conforme a la escala de sanciones de la Ley 27336, Ley de Desarrollo de las Funciones y Facultades del OSIPTEL, y, conforme al numeral 4 del artículo 248 del Texto Único Ordenado de la Ley 27444, aprobado por el Decreto Supremo 006-2026-JUS, especifica las conductas en su Reglamento General de Infracciones y Sanciones, sin crear infracciones nuevas.</w:t>
      </w:r>
    </w:p>
    <w:p>
      <w:pPr>
        <w:jc w:val="both"/>
      </w:pPr>
      <w:r>
        <w:rPr>
          <w:b/>
        </w:rPr>
        <w:t>Primera. Disposición Complementaria Final</w:t>
        <w:br/>
      </w:r>
      <w:r>
        <w:t>Reglamentación. El Poder Ejecutivo, mediante decreto supremo refrendado por el ministro de Transportes y Comunicaciones, previa opinión del OSIPTEL, reglamenta la presente ley en un plazo no mayor de noventa días hábiles contados a partir del día siguiente de su publicación. El OSIPTEL adecúa su Reglamento General de Infracciones y Sanciones en un plazo de noventa días hábiles contados desde la publicación del reglamento.</w:t>
      </w:r>
    </w:p>
    <w:p>
      <w:pPr>
        <w:jc w:val="both"/>
      </w:pPr>
      <w:r>
        <w:rPr>
          <w:b/>
        </w:rPr>
        <w:t>Segunda. Disposición Complementaria Final</w:t>
        <w:br/>
      </w:r>
      <w:r>
        <w:t>Coordinación con la Ley 32323. La numeración especial para llamadas comerciales prevista en la normativa de desarrollo de la Ley 32323 se integra a los mecanismos de autenticación de la presente ley.</w:t>
      </w:r>
    </w:p>
    <w:p>
      <w:pPr>
        <w:jc w:val="both"/>
      </w:pPr>
      <w:r>
        <w:rPr>
          <w:b/>
        </w:rPr>
        <w:t>Tercera. Disposición Complementaria Final</w:t>
        <w:br/>
      </w:r>
      <w:r>
        <w:t>Financiamiento. La implementación de la presente ley se financia con cargo al presupuesto institucional del OSIPTEL y del Ministerio de Transportes y Comunicaciones, sin demandar recursos adicionales al Tesoro Público.</w:t>
      </w:r>
    </w:p>
    <w:p>
      <w:pPr>
        <w:jc w:val="both"/>
      </w:pPr>
      <w:r>
        <w:rPr>
          <w:b/>
        </w:rPr>
        <w:t>Única. Disposición Complementaria Transitoria</w:t>
        <w:br/>
      </w:r>
      <w:r>
        <w:t>Implementación gradual. Las obligaciones de los artículos 4 a 7 son exigibles a los nueve meses de la entrada en vigencia del reglamento; las del numeral 3.1, a los dieciocho meses en las interconexiones nacionales en protocolo de internet, y conforme al cronograma del numeral 3.3 en las demás.</w:t>
      </w:r>
    </w:p>
    <w:p>
      <w:r>
        <w:t>Lima, ___ de __________ de 20__</w:t>
      </w:r>
    </w:p>
    <w:p>
      <w:r>
        <w:br w:type="page"/>
      </w:r>
    </w:p>
    <w:p>
      <w:pPr>
        <w:pStyle w:val="Heading1"/>
      </w:pPr>
      <w:r>
        <w:t>EXPOSICIÓN DE MOTIVOS</w:t>
      </w:r>
    </w:p>
    <w:p>
      <w:pPr>
        <w:pStyle w:val="Heading2"/>
      </w:pPr>
      <w:r>
        <w:t>I. Fundamentos y problema</w:t>
      </w:r>
    </w:p>
    <w:p>
      <w:pPr>
        <w:jc w:val="both"/>
      </w:pPr>
      <w:r>
        <w:t>La Ley 32323 (2025) modificó el artículo 58 del Código de Protección y Defensa del Consumidor para prohibir las comunicaciones comerciales no consentidas y encargó normas para identificar llamadas comerciales con numeración especial (CMS Grau). Esa norma enfrenta el spam de empresas formales, pero no la suplantación de identidad telefónica usada por delincuentes: llamadas que muestran números falsos o similares a los de bancos y entidades públicas, y mensajes de texto con remitentes que imitan marcas para robar credenciales. Estas modalidades alimentan el fraude informático y la suplantación de identidad, que, según información del Ministerio Público difundida por El Peruano (2-9-2026), concentran más del 92 % de las denuncias por delitos informáticos entre enero y julio de 2026. El Perú no exige legalmente la autenticación del identificador de llamada ni un registro de remitentes alfanuméricos, medidas que Estados Unidos (STIR/SHAKEN) y Singapur (SMS Sender ID Registry) han implementado. Tampoco existe un canal ciudadano único para reportar números fraudulentos que alimente bloqueos coordinados, con garantías frente a bloqueos indebidos.</w:t>
      </w:r>
    </w:p>
    <w:p>
      <w:pPr>
        <w:pStyle w:val="Heading2"/>
      </w:pPr>
      <w:r>
        <w:t>II. Objeto</w:t>
      </w:r>
    </w:p>
    <w:p>
      <w:pPr>
        <w:jc w:val="both"/>
      </w:pPr>
      <w:r>
        <w:t>Prevenir la suplantación de identificadores telefónicos y los mensajes fraudulentos mediante autenticación escalonada, registro de remitentes, numeración protegida y bloqueo coordinado con garantías.</w:t>
      </w:r>
    </w:p>
    <w:p>
      <w:pPr>
        <w:pStyle w:val="Heading2"/>
      </w:pPr>
      <w:r>
        <w:t>III. Análisis costo-beneficio</w:t>
      </w:r>
    </w:p>
    <w:p>
      <w:pPr>
        <w:jc w:val="both"/>
      </w:pPr>
      <w:r>
        <w:t>El gasto público es bajo y se financia con el presupuesto del OSIPTEL (aporte por regulación) y del MTC: el editor estima S/ 1 a 2,5 millones para el desarrollo del registro y del canal de reporte y S/ 0,5 a 1 millón anuales de operación. Los operadores asumen inversiones en autenticación y filtrado; el escalonamiento por tramos de protocolo de internet y los plazos de nueve a dieciocho meses reducen el costo y evitan el etiquetado masivo de llamadas legítimas. El beneficio es la reducción de la superficie de ataque del fraude por ingeniería social, que afecta especialmente a adultos mayores, y la protección de la reputación de bancos y entidades públicas suplantadas. Las garantías de verificación y desbloqueo evitan bloqueos abusivos. No se dispone de cifras oficiales del costo del fraude telefónico en el Perú.</w:t>
      </w:r>
    </w:p>
    <w:p>
      <w:pPr>
        <w:pStyle w:val="Heading2"/>
      </w:pPr>
      <w:r>
        <w:t>IV. Efecto de la vigencia de la norma sobre la legislación nacional</w:t>
      </w:r>
    </w:p>
    <w:p>
      <w:pPr>
        <w:jc w:val="both"/>
      </w:pPr>
      <w:r>
        <w:t>Complementa la Ley 32323 y el artículo 58 de la Ley 29571; complementa la Ley 27336 (potestad sancionadora del OSIPTEL, con infracciones calificadas en esta ley), la Ley 28493, la Ley 29733 y el Decreto Legislativo 1338; obliga a adecuar el Plan Técnico Fundamental de Numeración (TUO de la Ley de Telecomunicaciones, D.S. 013-93-TCC, y su Reglamento General, D.S. 020-2007-MTC) y el Reglamento General de Infracciones y Sanciones del OSIPTEL. Es la norma de referencia sobre remitentes alfanuméricos para otras propuestas. No requiere votación de ley orgánica.</w:t>
      </w:r>
    </w:p>
    <w:p>
      <w:pPr>
        <w:pStyle w:val="Heading2"/>
      </w:pPr>
      <w:r>
        <w:t>V. Antecedentes</w:t>
      </w:r>
    </w:p>
    <w:p>
      <w:pPr>
        <w:jc w:val="both"/>
      </w:pPr>
      <w:r>
        <w:t>PL 13347/2025-CR, que protege del enmascaramiento y de la suplantación de identidad telefónica a los usuarios de los servicios de telefonía (en comisión, periodo 2021-2026, según verificación en SPLEY del revisor normativo). Antecedente normativo: Ley 32323 (2025).</w:t>
      </w:r>
    </w:p>
    <w:p>
      <w:pPr>
        <w:pStyle w:val="Heading2"/>
      </w:pPr>
      <w:r>
        <w:t>VI. Indicador de éxito</w:t>
      </w:r>
    </w:p>
    <w:p>
      <w:pPr>
        <w:jc w:val="both"/>
      </w:pPr>
      <w:r>
        <w:t>A 2029, autenticación de identificador implementada por todos los operadores móviles; registro de remitentes operativo y reportes ciudadanos publicados trimestralmente por OSIPTEL.</w:t>
      </w:r>
    </w:p>
    <w:p>
      <w:pPr>
        <w:pStyle w:val="Heading2"/>
      </w:pPr>
      <w:r>
        <w:t>Normas que modifica y entidades implicadas</w:t>
      </w:r>
    </w:p>
    <w:p>
      <w:pPr>
        <w:pStyle w:val="ListBullet"/>
      </w:pPr>
      <w:r>
        <w:t>Ley 32323 / Ley 29571, Código de Protección y Defensa del Consumidor, art. 58 — complementa</w:t>
      </w:r>
    </w:p>
    <w:p>
      <w:pPr>
        <w:pStyle w:val="ListBullet"/>
      </w:pPr>
      <w:r>
        <w:t>Ley 27336, Ley de Desarrollo de las Funciones y Facultades del OSIPTEL, régimen sancionador — complementa</w:t>
      </w:r>
    </w:p>
    <w:p>
      <w:pPr>
        <w:pStyle w:val="ListBullet"/>
      </w:pPr>
      <w:r>
        <w:t>TUO de la Ley de Telecomunicaciones (D.S. 013-93-TCC) y Reglamento General (D.S. 020-2007-MTC), Plan Técnico Fundamental de Numeración — complementa</w:t>
      </w:r>
    </w:p>
    <w:p>
      <w:pPr>
        <w:pStyle w:val="ListBullet"/>
      </w:pPr>
      <w:r>
        <w:t>Ley 29733, Ley de Protección de Datos Personales, límites del tratamiento (art. 8 de la ley) — complementa</w:t>
      </w:r>
    </w:p>
    <w:p>
      <w:pPr>
        <w:pStyle w:val="ListBullet"/>
      </w:pPr>
      <w:r>
        <w:t>OSIPTEL (sancionadora): Administra el Registro de Remitentes (art. 5), el canal de reporte (art. 6) y la numeración protegida (art. 7); fija medidas para tramos no IP y el cronograma de migración (art. 3); supervisa y sanciona (art. 9).</w:t>
      </w:r>
    </w:p>
    <w:p>
      <w:pPr>
        <w:pStyle w:val="ListBullet"/>
      </w:pPr>
      <w:r>
        <w:t>MTC (reglamentadora): Refrenda el reglamento y adecúa el Plan Técnico Fundamental de Numeración (art. 7.3; DCF Primera).</w:t>
      </w:r>
    </w:p>
    <w:p>
      <w:pPr>
        <w:pStyle w:val="ListBullet"/>
      </w:pPr>
      <w:r>
        <w:t>Operadoras (regulada): Autentican el origen, bloquean llamadas y mensajes conforme a los arts. 3 a 7.</w:t>
      </w:r>
    </w:p>
    <w:p>
      <w:pPr>
        <w:pStyle w:val="ListBullet"/>
      </w:pPr>
      <w:r>
        <w:t>MP / PNP (beneficiaria): Reciben reportes verificados para investigación (art. 6.3).</w:t>
      </w:r>
    </w:p>
    <w:p>
      <w:pPr>
        <w:pStyle w:val="ListBullet"/>
      </w:pPr>
      <w:r>
        <w:t>Registrantes (beneficiaria): Registran y actualizan su numeración protegida y responden por registros indebidos (art. 7.2).</w:t>
      </w:r>
    </w:p>
    <w:p>
      <w:pPr>
        <w:pStyle w:val="Heading2"/>
      </w:pPr>
      <w:r>
        <w:t>Impacto económico estimado (referencial)</w:t>
      </w:r>
    </w:p>
    <w:p>
      <w:pPr>
        <w:pStyle w:val="ListBullet"/>
      </w:pPr>
      <w:r>
        <w:t>Tipo: gasto</w:t>
      </w:r>
    </w:p>
    <w:p>
      <w:pPr>
        <w:pStyle w:val="ListBullet"/>
      </w:pPr>
      <w:r>
        <w:t>Costo para el Estado: S/ 1–2,5 millones (único) y S/ 0,5–1 millón/año, estimación del editor</w:t>
      </w:r>
    </w:p>
    <w:p>
      <w:pPr>
        <w:pStyle w:val="ListBullet"/>
      </w:pPr>
      <w:r>
        <w:t>Financiamiento: Presupuesto institucional del OSIPTEL (aporte por regulación) y del MTC, sin demandar recursos adicionales al Tesoro Público.</w:t>
      </w:r>
    </w:p>
    <w:p>
      <w:pPr>
        <w:pStyle w:val="ListBullet"/>
      </w:pPr>
      <w:r>
        <w:t>Supuestos: Desarrollo del Registro de Remitentes, el canal de reporte multicanal y la lista de numeración protegida en el OSIPTEL, con 4 a 6 plazas de operación y verificación; costos unitarios supuestos por el editor, sin fuente oficial.</w:t>
      </w:r>
    </w:p>
    <w:p>
      <w:pPr>
        <w:pStyle w:val="ListBullet"/>
      </w:pPr>
      <w:r>
        <w:t>Beneficio para el Estado: Menor uso fraudulento de la numeración de entidades públicas; insumos para la investigación penal. No cuantificable con información pública.</w:t>
      </w:r>
    </w:p>
    <w:p>
      <w:pPr>
        <w:pStyle w:val="ListBullet"/>
      </w:pPr>
      <w:r>
        <w:t>Beneficio para la sociedad: Reducción del fraude por suplantación telefónica y por mensajes; mayor confianza en las comunicaciones de bancos y entidades. No cuantificable con información pública.</w:t>
      </w:r>
    </w:p>
    <w:p>
      <w:pPr>
        <w:pStyle w:val="ListBullet"/>
      </w:pPr>
      <w:r>
        <w:t>Inversión privada: Inversión de los operadores en plataformas de firma y verificación de llamadas y en filtrado de SMS; no cuantificable con información pública.</w:t>
      </w:r>
    </w:p>
    <w:p>
      <w:pPr>
        <w:pStyle w:val="ListBullet"/>
      </w:pPr>
      <w:r>
        <w:t>Costo para privados: Implementación de autenticación en tramos IP, filtrado de mensajes y gestión de listas de bloqueo por las operadoras; costo de registro nulo para remitentes.</w:t>
      </w:r>
    </w:p>
    <w:p>
      <w:pPr>
        <w:pStyle w:val="ListBullet"/>
      </w:pPr>
      <w:r>
        <w:t>Riesgos: Etiquetado de llamadas legítimas como no verificadas durante la transición; bloqueos indebidos por reportes maliciosos (mitigado por el art. 6.2); persistencia de tramos TDM/SS7.</w:t>
      </w:r>
    </w:p>
    <w:p>
      <w:pPr>
        <w:pStyle w:val="Heading2"/>
      </w:pPr>
      <w:r>
        <w:t>VII. Vinculación con la Agenda Legislativa y el Plan Perú 2050</w:t>
      </w:r>
    </w:p>
    <w:p>
      <w:r>
        <w:t>Comisiones temáticas del Plan Perú 2050: Telecomunicaciones, Ciber Seguridad, Orden Público y Seguridad. ODS: 9, 16.</w:t>
      </w:r>
    </w:p>
    <w:p>
      <w:pPr>
        <w:pStyle w:val="Heading2"/>
      </w:pPr>
      <w:r>
        <w:t>VIII. Referencias</w:t>
      </w:r>
    </w:p>
    <w:p>
      <w:pPr>
        <w:pStyle w:val="ListBullet"/>
      </w:pPr>
      <w:r>
        <w:t>Ley 32323, que modifica el artículo 58 del Código de Protección y Defensa del Consumidor (comunicaciones comerciales no solicitadas) — https://img.lpderecho.pe/wp-content/uploads/2025/05/LEY-32323-LpDrecho.pdf</w:t>
      </w:r>
    </w:p>
    <w:p>
      <w:pPr>
        <w:pStyle w:val="ListBullet"/>
      </w:pPr>
      <w:r>
        <w:t>Ley 29571, Código de Protección y Defensa del Consumidor — https://www.leyes.congreso.gob.pe/Documentos/Leyes/29571.pdf</w:t>
      </w:r>
    </w:p>
    <w:p>
      <w:pPr>
        <w:pStyle w:val="ListBullet"/>
      </w:pPr>
      <w:r>
        <w:t>Ley 28493, Ley que regula el uso del correo electrónico comercial no solicitado — https://www.leyes.congreso.gob.pe/Documentos/Leyes/28493.pdf</w:t>
      </w:r>
    </w:p>
    <w:p>
      <w:pPr>
        <w:pStyle w:val="ListBullet"/>
      </w:pPr>
      <w:r>
        <w:t>Ley 29733, Ley de Protección de Datos Personales — https://www.leyes.congreso.gob.pe/Documentos/Leyes/29733.pdf</w:t>
      </w:r>
    </w:p>
    <w:p>
      <w:pPr>
        <w:pStyle w:val="ListBullet"/>
      </w:pPr>
      <w:r>
        <w:t>Decreto Legislativo 1338, que crea el Registro Nacional de Equipos Terminales Móviles para la Seguridad (RENTESEG) — https://www.osiptel.gob.pe/media/2auoulvc/dl-1338.pdf</w:t>
      </w:r>
    </w:p>
    <w:p>
      <w:pPr>
        <w:pStyle w:val="ListBullet"/>
      </w:pPr>
      <w:r>
        <w:t>Estados Unidos: FCC: autenticación de identificador de llamada STIR/SHAKEN contra llamadas suplantadas — https://www.fcc.gov/call-authentication</w:t>
      </w:r>
    </w:p>
    <w:p>
      <w:pPr>
        <w:pStyle w:val="ListBullet"/>
      </w:pPr>
      <w:r>
        <w:t>Singapur: IMDA: SMS Sender ID Registry (SSIR) — https://www.imda.gov.sg/regulations-and-licensing-listing/sms-sender-id-registry</w:t>
      </w:r>
    </w:p>
    <w:p>
      <w:pPr>
        <w:pStyle w:val="ListBullet"/>
      </w:pPr>
      <w:r>
        <w:t>Australia: Scams Prevention Framework Act 2025 — https://www.legislation.gov.au/C2025A00015</w:t>
      </w:r>
    </w:p>
    <w:p>
      <w:pPr>
        <w:pStyle w:val="ListBullet"/>
      </w:pPr>
      <w:r>
        <w:t>CMS Grau: Promulgan ley contra llamadas y mensajes spam (Ley 32323) — https://cms.law/en/per/publication/promulgan-ley-contra-llamadas-y-mensajes-spam</w:t>
      </w:r>
    </w:p>
    <w:p>
      <w:pPr>
        <w:pStyle w:val="ListBullet"/>
      </w:pPr>
      <w:r>
        <w:t>El Peruano (02-09-2026): Ciberdelitos más denunciados en el Perú — 29 118 denuncias ene-jul 2026 según el Ministerio Público — https://elperuano.pe/noticia/303867-ciberdelitos-mas-denunciados-en-el-peru</w:t>
      </w:r>
    </w:p>
    <w:p>
      <w:pPr>
        <w:pStyle w:val="ListBullet"/>
      </w:pPr>
      <w:r>
        <w:t>gob.pe: OSIPTEL — https://www.gob.pe/osiptel</w:t>
      </w:r>
    </w:p>
    <w:p>
      <w:r>
        <w:t>Fuente: Agenda Legislativa Tech Perú 2026–2031 (https://unimauro.github.io/agenda-legislativa-tech/p/CIB-06.html), propuesta ciudadana CC BY 4.0.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Ley contra la suplantación de identificadores telefónicos y mensajes fraudulentos</dc:title>
  <dc:subject/>
  <dc:creator>Agenda Legislativa Tech Perú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