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29440, LEY DE LOS SISTEMAS DE PAGOS Y DE LIQUIDACIÓN DE VALORES, PARA INCORPORAR EL SERVICIO DE INICIACIÓN DE PAGOS, REFORZAR LA PREVENCIÓN DEL FRAUDE Y LA TRANSPARENCIA DE COMISIONES A COMERCIOS EN LOS PAGOS MINORISTAS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29440, LEY DE LOS SISTEMAS DE PAGOS Y DE LIQUIDACIÓN DE VALORES, PARA INCORPORAR EL SERVICIO DE INICIACIÓN DE PAGOS, REFORZAR LA PREVENCIÓN DEL FRAUDE Y LA TRANSPARENCIA DE COMISIONES A COMERCIOS EN LOS PAGOS MINORISTAS</w:t>
      </w:r>
    </w:p>
    <w:p>
      <w:pPr>
        <w:jc w:val="both"/>
      </w:pPr>
      <w:r>
        <w:rPr>
          <w:b/>
        </w:rPr>
        <w:t>Artículo 1. Objeto</w:t>
        <w:br/>
      </w:r>
      <w:r>
        <w:t>La presente ley tiene por objeto modificar la Ley 29440, Ley de los Sistemas de Pagos y de Liquidación de Valores, para incorporar el servicio de iniciación de pagos, reforzar la prevención del fraude en los pagos minoristas interoperables y la transparencia de las comisiones a comercios, así como promover la libre elección de proveedores de aceptación de pagos.</w:t>
      </w:r>
    </w:p>
    <w:p>
      <w:pPr>
        <w:jc w:val="both"/>
      </w:pPr>
      <w:r>
        <w:rPr>
          <w:b/>
        </w:rPr>
        <w:t>Artículo 2. Incorporación del inciso cc) en el artículo 3 de la Ley 29440</w:t>
        <w:br/>
      </w:r>
      <w:r>
        <w:t>Se incorpora el inciso cc) en el artículo 3 de la Ley 29440, Ley de los Sistemas de Pagos y de Liquidación de Valores, en los siguientes términos:</w:t>
        <w:br/>
        <w:t>«Artículo 3.- Definiciones</w:t>
        <w:br/>
        <w:t>(…)</w:t>
        <w:br/>
        <w:t>cc) Servicio de Iniciación de Pagos: Servicio de Pago que permite, a solicitud y con autorización expresa del ordenante, ordenar una transferencia de fondos desde una cuenta que este mantiene en otro Proveedor de Servicios de Pagos, sin que el iniciador entre en posesión de los fondos.»</w:t>
      </w:r>
    </w:p>
    <w:p>
      <w:pPr>
        <w:jc w:val="both"/>
      </w:pPr>
      <w:r>
        <w:rPr>
          <w:b/>
        </w:rPr>
        <w:t>Artículo 3. Incorporación de los incisos s) y t) en el artículo 10 de la Ley 29440</w:t>
        <w:br/>
      </w:r>
      <w:r>
        <w:t>Se incorporan los incisos s) y t) en el artículo 10 de la Ley 29440, Ley de los Sistemas de Pagos y de Liquidación de Valores, en los siguientes términos:</w:t>
        <w:br/>
        <w:t>«Artículo 10.- Órgano rector del Sistema Nacional de Pagos</w:t>
        <w:br/>
        <w:t>(…)</w:t>
        <w:br/>
        <w:t>s) Establecer los estándares técnicos de interoperabilidad, seguridad y acceso aplicables al Servicio de Iniciación de Pagos y las condiciones en que los Proveedores de Servicios de Pagos que mantienen cuentas deben permitir dicho acceso, en forma proporcional al riesgo y no discriminatoria. Los estándares incluyen la autenticación reforzada del ordenante ante el proveedor de la cuenta para cada orden iniciada por un tercero, la confirmación del nombre del beneficiario previa al pago, límites y alertas para operaciones atípicas y el intercambio de información entre proveedores sobre cuentas vinculadas a fraude, con las salvaguardas de protección de datos personales. El registro y la supervisión de conducta de los iniciadores de pago que no sean empresas supervisadas corresponden a la Superintendencia de Banca, Seguros y AFP, con la cual el Banco Central coordina un procedimiento único de ingreso.</w:t>
        <w:br/>
        <w:t>t) Exigir a los adquirentes, facilitadores de pago y proveedores de pagos con código QR la publicación, en formato comparable, de las comisiones y cargos totales que cobran a los comercios por tipo de Instrumento de Pago y segmento de comercio, así como consolidar y publicar periódicamente dicha información.»</w:t>
      </w:r>
    </w:p>
    <w:p>
      <w:pPr>
        <w:jc w:val="both"/>
      </w:pPr>
      <w:r>
        <w:rPr>
          <w:b/>
        </w:rPr>
        <w:t>Artículo 4. Responsabilidad ante órdenes no autorizadas</w:t>
        <w:br/>
      </w:r>
      <w:r>
        <w:t>Ante una orden de pago no autorizada iniciada a través de un Servicio de Iniciación de Pagos, el proveedor que mantiene la cuenta reembolsa al ordenante en el plazo que establezca la regulación aplicable y puede repetir contra el iniciador responsable. Corresponde al iniciador acreditar que la orden fue autenticada y autorizada por el ordenante. El intercambio de información sobre cuentas vinculadas a fraude previsto en el inciso s) del artículo 10 de la Ley 29440 constituye tratamiento de datos autorizado por ley para efectos de la Ley 29733, Ley de Protección de Datos Personales, limitado a la prevención del fraude.</w:t>
      </w:r>
    </w:p>
    <w:p>
      <w:pPr>
        <w:jc w:val="both"/>
      </w:pPr>
      <w:r>
        <w:rPr>
          <w:b/>
        </w:rPr>
        <w:t>Artículo 5. Libre elección de proveedores de aceptación de pagos</w:t>
        <w:br/>
      </w:r>
      <w:r>
        <w:t>5.1 Los contratos de afiliación de comercios a servicios de aceptación de pagos celebrados, renovados o prorrogados a partir de la entrada en vigor de la presente ley no pueden contener cláusulas de exclusividad que impidan al comercio aceptar Instrumentos de Pago de otros proveedores, ni penalidades por resolución anticipada que excedan el costo no amortizado del equipamiento entregado al comercio.</w:t>
        <w:br/>
        <w:t>5.2 Las cláusulas que contravengan el numeral 5.1 son nulas de pleno derecho.</w:t>
        <w:br/>
        <w:t>5.3 El incumplimiento del deber de información de comisiones frente a microempresas es sancionable por el INDECOPI conforme al numeral 1.2 del artículo IV del Título Preliminar de la Ley 29571, Código de Protección y Defensa del Consumidor, sin perjuicio de la competencia del Banco Central de Reserva del Perú respecto de los proveedores bajo su regulación y de la aplicación del Decreto Legislativo 1034, Ley de Represión de Conductas Anticompetitivas.</w:t>
      </w:r>
    </w:p>
    <w:p>
      <w:pPr>
        <w:jc w:val="both"/>
      </w:pPr>
      <w:r>
        <w:rPr>
          <w:b/>
        </w:rPr>
        <w:t>Artículo 6. Coordinación</w:t>
        <w:br/>
      </w:r>
      <w:r>
        <w:t>El Banco Central de Reserva del Perú, la Superintendencia de Banca, Seguros y AFP y el INDECOPI coordinan sus actuaciones en materia de pagos minoristas, finanzas abiertas y protección del consumidor, en el marco de sus respectivas competencias legales, sin que un mismo hecho, con identidad de sujeto y fundamento, sea sancionado por más de una autoridad.</w:t>
      </w:r>
    </w:p>
    <w:p>
      <w:pPr>
        <w:jc w:val="both"/>
      </w:pPr>
      <w:r>
        <w:rPr>
          <w:b/>
        </w:rPr>
        <w:t>Artículo 7. Financiamiento</w:t>
        <w:br/>
      </w:r>
      <w:r>
        <w:t>La aplicación de la presente ley se financia con cargo al presupuesto institucional de las entidades involucradas, sin demandar recursos adicionales al Tesoro Público.</w:t>
      </w:r>
    </w:p>
    <w:p>
      <w:pPr>
        <w:jc w:val="both"/>
      </w:pPr>
      <w:r>
        <w:rPr>
          <w:b/>
        </w:rPr>
        <w:t>Primera. Disposición Complementaria Final</w:t>
        <w:br/>
      </w:r>
      <w:r>
        <w:t>Adecuación normativa. El Banco Central de Reserva del Perú, en ejercicio de su autonomía, adecúa su normativa a la presente ley e informa sobre ello, conforme a su Ley Orgánica, a las comisiones ordinarias competentes en economía de la Cámara de Diputados y del Senado dentro del primer año de vigencia.</w:t>
      </w:r>
    </w:p>
    <w:p>
      <w:pPr>
        <w:jc w:val="both"/>
      </w:pPr>
      <w:r>
        <w:rPr>
          <w:b/>
        </w:rPr>
        <w:t>Segunda. Disposición Complementaria Final</w:t>
        <w:br/>
      </w:r>
      <w:r>
        <w:t>Exigibilidad de la transparencia de comisiones. La publicación de comisiones a que se refiere el inciso t) del artículo 10 de la Ley 29440 es exigible a los ciento ochenta días calendario de la entrada en vigor de la presente ley, sin perjuicio de las normas de transparencia de la Ley 28587 y de la Superintendencia de Banca, Seguros y AFP.</w:t>
      </w:r>
    </w:p>
    <w:p>
      <w:r>
        <w:t>Lima, ___ de __________ de 20__</w:t>
      </w:r>
    </w:p>
    <w:p>
      <w:r>
        <w:br w:type="page"/>
      </w:r>
    </w:p>
    <w:p>
      <w:pPr>
        <w:pStyle w:val="Heading1"/>
      </w:pPr>
      <w:r>
        <w:t>EXPOSICIÓN DE MOTIVOS</w:t>
      </w:r>
    </w:p>
    <w:p>
      <w:pPr>
        <w:pStyle w:val="Heading2"/>
      </w:pPr>
      <w:r>
        <w:t>I. Fundamentos y problema</w:t>
      </w:r>
    </w:p>
    <w:p>
      <w:pPr>
        <w:jc w:val="both"/>
      </w:pPr>
      <w:r>
        <w:t>Por regulación del Banco Central de Reserva del Perú (Circular 0024-2022-BCRP, Reglamento de Interoperabilidad de los Servicios de Pago) las principales billeteras digitales del país ya interoperan: según la revista Moneda del BCRP, la fase 3, que conectó cuentas de depósito con cuentas de dinero electrónico, inició en diciembre de 2023, y una fase 4 que permitiría el ingreso de fintech y otros proveedores mediante iniciación de pagos se encontraba en diseño. El Decreto Legislativo 1665 (setiembre de 2024) fortaleció la Ley 29440: definió el Sistema Nacional de Pagos, los servicios y proveedores de servicios de pago, y amplió las atribuciones del BCRP para regular licencias, interoperabilidad y lineamientos de tarifas. Sin embargo, la ley no define la iniciación de pagos como servicio, no reparte expresamente las competencias entre el BCRP (estándares técnicos) y la SBS (registro y conducta de los iniciadores), ni ordena salvaguardas legales frente al fraude por pagos inmediatos inducidos (estafas por QR o transferencias), que crecen con la interoperabilidad. Para los comercios, especialmente MYPE, las comisiones por aceptar pagos digitales no siempre son comparables, y algunos contratos de afiliación incluyen exclusividades. La Directiva europea PSD2 y la Ley Fintec chilena dieron rango legal a la iniciación de pagos y al acceso de terceros.</w:t>
      </w:r>
    </w:p>
    <w:p>
      <w:pPr>
        <w:pStyle w:val="Heading2"/>
      </w:pPr>
      <w:r>
        <w:t>II. Objeto</w:t>
      </w:r>
    </w:p>
    <w:p>
      <w:pPr>
        <w:jc w:val="both"/>
      </w:pPr>
      <w:r>
        <w:t>Incorporar en la Ley 29440 el servicio de iniciación de pagos y atribuciones específicas del BCRP en seguridad antifraude y transparencia de comisiones, y regular la no exclusividad en la afiliación de comercios.</w:t>
      </w:r>
    </w:p>
    <w:p>
      <w:pPr>
        <w:pStyle w:val="Heading2"/>
      </w:pPr>
      <w:r>
        <w:t>III. Análisis costo-beneficio</w:t>
      </w:r>
    </w:p>
    <w:p>
      <w:pPr>
        <w:jc w:val="both"/>
      </w:pPr>
      <w:r>
        <w:t>No genera gasto público: el BCRP, la SBS y el INDECOPI actúan con su presupuesto. Los costos recaen en los proveedores de pagos (publicación de tarifas, adecuación técnica, confirmación de beneficiario y monitoreo transaccional), moderados frente a las pérdidas crecientes por fraude en pagos inmediatos. Los beneficios son mayor competencia en comisiones a comercios, menores costos de búsqueda para MYPE, entrada ordenada de iniciadores de pago con un procedimiento único de ingreso y una regla clara de reembolso al usuario. La ley es deferente con la autonomía del BCRP (art. 84 de la Constitución) y con el DL 1665: añade solo lo que la Ley 29440 no prevé. La prohibición de exclusividad rige solo para contratos futuros, conforme al art. 62 de la Constitución.</w:t>
      </w:r>
    </w:p>
    <w:p>
      <w:pPr>
        <w:pStyle w:val="Heading2"/>
      </w:pPr>
      <w:r>
        <w:t>IV. Efecto de la vigencia de la norma sobre la legislación nacional</w:t>
      </w:r>
    </w:p>
    <w:p>
      <w:pPr>
        <w:jc w:val="both"/>
      </w:pPr>
      <w:r>
        <w:t>Modifica la Ley 29440 (texto modificado por el Decreto Legislativo 1665): incorpora el inciso cc) del artículo 3 y los incisos s) y t) del artículo 10 (verificar en SPIJ que no existan incorporaciones posteriores a setiembre de 2024 con la misma letra). Complementa la Ley 29571, la Ley 28587, la Ley 29733, la Ley 29985 y el Decreto Legislativo 1034; concordante con la Ley Orgánica del BCRP (Decreto Ley 26123). El registro y la conducta de iniciadores se rige por la propuesta ECO-06 o, en su defecto, por la Ley 26702. No deroga normas.</w:t>
      </w:r>
    </w:p>
    <w:p>
      <w:pPr>
        <w:pStyle w:val="Heading2"/>
      </w:pPr>
      <w:r>
        <w:t>V. Antecedentes</w:t>
      </w:r>
    </w:p>
    <w:p>
      <w:pPr>
        <w:jc w:val="both"/>
      </w:pPr>
      <w:r>
        <w:t>Según la revisión normativa (SPLEY): Proyecto 04975/2022-CR, que habilita a las billeteras digitales para recibir pagos de haberes (publicado); Proyectos 13240/2025-CR y 13494/2025-CR, sobre funciones de aceptación y validación de transferencias en billeteras digitales (en comisión).</w:t>
      </w:r>
    </w:p>
    <w:p>
      <w:pPr>
        <w:pStyle w:val="Heading2"/>
      </w:pPr>
      <w:r>
        <w:t>VI. Indicador de éxito</w:t>
      </w:r>
    </w:p>
    <w:p>
      <w:pPr>
        <w:jc w:val="both"/>
      </w:pPr>
      <w:r>
        <w:t>Al 2031, publicación periódica por el BCRP de comisiones comparables a comercios y servicio de iniciación de pagos regulado y operativo con proveedores no bancarios.</w:t>
      </w:r>
    </w:p>
    <w:p>
      <w:pPr>
        <w:pStyle w:val="Heading2"/>
      </w:pPr>
      <w:r>
        <w:t>Normas que modifica y entidades implicadas</w:t>
      </w:r>
    </w:p>
    <w:p>
      <w:pPr>
        <w:pStyle w:val="ListBullet"/>
      </w:pPr>
      <w:r>
        <w:t>Ley 29440, Ley de los Sistemas de Pagos y de Liquidación de Valores, art. 3 inc. cc) — incorpora</w:t>
      </w:r>
    </w:p>
    <w:p>
      <w:pPr>
        <w:pStyle w:val="ListBullet"/>
      </w:pPr>
      <w:r>
        <w:t>Ley 29440, Ley de los Sistemas de Pagos y de Liquidación de Valores, art. 10 incs. s) y t) — incorpora</w:t>
      </w:r>
    </w:p>
    <w:p>
      <w:pPr>
        <w:pStyle w:val="ListBullet"/>
      </w:pPr>
      <w:r>
        <w:t>Ley 29571, Código de Protección y Defensa del Consumidor, art. IV.1.2 TP — complementa</w:t>
      </w:r>
    </w:p>
    <w:p>
      <w:pPr>
        <w:pStyle w:val="ListBullet"/>
      </w:pPr>
      <w:r>
        <w:t>Ley 29733, Ley de Protección de Datos Personales, tratamiento autorizado por ley (prevención del fraude) — complementa</w:t>
      </w:r>
    </w:p>
    <w:p>
      <w:pPr>
        <w:pStyle w:val="ListBullet"/>
      </w:pPr>
      <w:r>
        <w:t>Decreto Legislativo 1034, concordancia — complementa</w:t>
      </w:r>
    </w:p>
    <w:p>
      <w:pPr>
        <w:pStyle w:val="ListBullet"/>
      </w:pPr>
      <w:r>
        <w:t>BCRP (rectora): Fija estándares técnicos de iniciación de pagos y antifraude (art. 10.s), exige y consolida la publicación de comisiones (art. 10.t) e informa a ambas cámaras (DCF Primera).</w:t>
      </w:r>
    </w:p>
    <w:p>
      <w:pPr>
        <w:pStyle w:val="ListBullet"/>
      </w:pPr>
      <w:r>
        <w:t>SBS (supervisora): Registra y supervisa la conducta de iniciadores de pago no supervisados y coordina el procedimiento único de ingreso (art. 10.s).</w:t>
      </w:r>
    </w:p>
    <w:p>
      <w:pPr>
        <w:pStyle w:val="ListBullet"/>
      </w:pPr>
      <w:r>
        <w:t>INDECOPI (sancionadora): Sanciona la falta de información de comisiones a microempresas y aplica el DL 1034 (art. 5.3).</w:t>
      </w:r>
    </w:p>
    <w:p>
      <w:pPr>
        <w:pStyle w:val="ListBullet"/>
      </w:pPr>
      <w:r>
        <w:t>UIF-Perú (consultiva): Usa la información sobre cuentas vinculadas a fraude en el marco de sus competencias (art. 10.s).</w:t>
      </w:r>
    </w:p>
    <w:p>
      <w:pPr>
        <w:pStyle w:val="Heading2"/>
      </w:pPr>
      <w:r>
        <w:t>Impacto económico estimado (referencial)</w:t>
      </w:r>
    </w:p>
    <w:p>
      <w:pPr>
        <w:pStyle w:val="ListBullet"/>
      </w:pPr>
      <w:r>
        <w:t>Tipo: neutro</w:t>
      </w:r>
    </w:p>
    <w:p>
      <w:pPr>
        <w:pStyle w:val="ListBullet"/>
      </w:pPr>
      <w:r>
        <w:t>Costo para el Estado: S/ 0 adicional</w:t>
      </w:r>
    </w:p>
    <w:p>
      <w:pPr>
        <w:pStyle w:val="ListBullet"/>
      </w:pPr>
      <w:r>
        <w:t>Financiamiento: Presupuesto institucional del BCRP, la SBS y el INDECOPI, sin demandar recursos adicionales al Tesoro.</w:t>
      </w:r>
    </w:p>
    <w:p>
      <w:pPr>
        <w:pStyle w:val="ListBullet"/>
      </w:pPr>
      <w:r>
        <w:t>Supuestos: El BCRP ya consolida información de pagos y regula tarifas (art. 10 inc. l Ley 29440); la SBS e INDECOPI actúan con su estructura.</w:t>
      </w:r>
    </w:p>
    <w:p>
      <w:pPr>
        <w:pStyle w:val="ListBullet"/>
      </w:pPr>
      <w:r>
        <w:t>Beneficio para el Estado: Menor carga de denuncias por fraude en pagos inmediatos; reparto claro de competencias entre reguladores.</w:t>
      </w:r>
    </w:p>
    <w:p>
      <w:pPr>
        <w:pStyle w:val="ListBullet"/>
      </w:pPr>
      <w:r>
        <w:t>Beneficio para la sociedad: Menores costos de aceptación para MYPE por comparabilidad de comisiones; menor pérdida por fraude. No cuantificable con información pública.</w:t>
      </w:r>
    </w:p>
    <w:p>
      <w:pPr>
        <w:pStyle w:val="ListBullet"/>
      </w:pPr>
      <w:r>
        <w:t>Inversión privada: Inversión de proveedores en confirmación de beneficiario, monitoreo y APIs de iniciación; monto no estimable.</w:t>
      </w:r>
    </w:p>
    <w:p>
      <w:pPr>
        <w:pStyle w:val="ListBullet"/>
      </w:pPr>
      <w:r>
        <w:t>Costo para privados: Publicación de tarifas, adecuación técnica, confirmación de beneficiario y monitoreo transaccional; reembolsos por órdenes no autorizadas con derecho de repetición.</w:t>
      </w:r>
    </w:p>
    <w:p>
      <w:pPr>
        <w:pStyle w:val="ListBullet"/>
      </w:pPr>
      <w:r>
        <w:t>Riesgos: Mayor superficie de fraude por apertura; colisión de letras si la Ley 29440 fue modificada después de 2024; doble habilitación si BCRP y SBS no coordinan.</w:t>
      </w:r>
    </w:p>
    <w:p>
      <w:pPr>
        <w:pStyle w:val="Heading2"/>
      </w:pPr>
      <w:r>
        <w:t>VII. Vinculación con la Agenda Legislativa y el Plan Perú 2050</w:t>
      </w:r>
    </w:p>
    <w:p>
      <w:r>
        <w:t>Comisiones temáticas del Plan Perú 2050: Banca, Mipymes, Transformación Digital. ODS: 8, 10.</w:t>
      </w:r>
    </w:p>
    <w:p>
      <w:pPr>
        <w:pStyle w:val="Heading2"/>
      </w:pPr>
      <w:r>
        <w:t>VIII. Referencias</w:t>
      </w:r>
    </w:p>
    <w:p>
      <w:pPr>
        <w:pStyle w:val="ListBullet"/>
      </w:pPr>
      <w:r>
        <w:t>Ley 29440, Ley de los Sistemas de Pagos y de Liquidación de Valores — https://www.leyes.congreso.gob.pe/Documentos/Leyes/29440.pdf</w:t>
      </w:r>
    </w:p>
    <w:p>
      <w:pPr>
        <w:pStyle w:val="ListBullet"/>
      </w:pPr>
      <w:r>
        <w:t>Circular 0024-2022-BCRP, Reglamento de Interoperabilidad de los Servicios de Pago — https://www.bcrp.gob.pe/docs/Transparencia/Normas-Legales/Circulares/2022/circular-0024-2022-bcrp.pdf</w:t>
      </w:r>
    </w:p>
    <w:p>
      <w:pPr>
        <w:pStyle w:val="ListBullet"/>
      </w:pPr>
      <w:r>
        <w:t>Ley 29571, Código de Protección y Defensa del Consumidor — https://www.leyes.congreso.gob.pe/Documentos/Leyes/29571.pdf</w:t>
      </w:r>
    </w:p>
    <w:p>
      <w:pPr>
        <w:pStyle w:val="ListBullet"/>
      </w:pPr>
      <w:r>
        <w:t>Decreto Legislativo 1665, que modifica la Ley 29440 — https://img.lpderecho.pe/wp-content/uploads/2024/09/Decreto-Legislativo-1665-LPDerecho.pdf</w:t>
      </w:r>
    </w:p>
    <w:p>
      <w:pPr>
        <w:pStyle w:val="ListBullet"/>
      </w:pPr>
      <w:r>
        <w:t>Ley 29985, Ley que regula las características básicas del dinero electrónico como instrumento de inclusión financiera — https://www.leyes.congreso.gob.pe/Documentos/Leyes/29985.pdf</w:t>
      </w:r>
    </w:p>
    <w:p>
      <w:pPr>
        <w:pStyle w:val="ListBullet"/>
      </w:pPr>
      <w:r>
        <w:t>Ley 28587, Ley complementaria a la Ley de Protección al Consumidor en materia de servicios financieros — https://www.leyes.congreso.gob.pe/Documentos/Leyes/28587.pdf</w:t>
      </w:r>
    </w:p>
    <w:p>
      <w:pPr>
        <w:pStyle w:val="ListBullet"/>
      </w:pPr>
      <w:r>
        <w:t>Decreto Legislativo 1034, Ley de Represión de Conductas Anticompetitivas — https://www.leyes.congreso.gob.pe/Documentos/DecretosLegislativos/01034.pdf</w:t>
      </w:r>
    </w:p>
    <w:p>
      <w:pPr>
        <w:pStyle w:val="ListBullet"/>
      </w:pPr>
      <w:r>
        <w:t>Unión Europea: Directiva (UE) 2015/2366 sobre servicios de pago (PSD2), acceso a cuentas e iniciación de pagos — https://eur-lex.europa.eu/eli/dir/2015/2366/oj</w:t>
      </w:r>
    </w:p>
    <w:p>
      <w:pPr>
        <w:pStyle w:val="ListBullet"/>
      </w:pPr>
      <w:r>
        <w:t>Chile: Ley 21.521 (Ley Fintec), incluye sistema de finanzas abiertas y financiamiento colectivo — https://bcn.cl/3ayrx</w:t>
      </w:r>
    </w:p>
    <w:p>
      <w:pPr>
        <w:pStyle w:val="ListBullet"/>
      </w:pPr>
      <w:r>
        <w:t>BCRP, Revista Moneda 202 — Interoperabilidad de los pagos minoristas en el Perú — https://www.bcrp.gob.pe/docs/Publicaciones/Revista-Moneda/moneda-202/moneda-202-04.pdf</w:t>
      </w:r>
    </w:p>
    <w:p>
      <w:pPr>
        <w:pStyle w:val="ListBullet"/>
      </w:pPr>
      <w:r>
        <w:t>BCRP — Reporte de Estabilidad Financiera mayo 2023, recuadro sobre interoperabilidad — https://www.bcrp.gob.pe/docs/Publicaciones/Reporte-Estabilidad-Financiera/2023/mayo/ref-mayo-2023-recuadro-6.pdf</w:t>
      </w:r>
    </w:p>
    <w:p>
      <w:pPr>
        <w:pStyle w:val="ListBullet"/>
      </w:pPr>
      <w:r>
        <w:t>BCRP — Sistema de pagos — https://www.bcrp.gob.pe/sistema-de-pagos.html</w:t>
      </w:r>
    </w:p>
    <w:p>
      <w:r>
        <w:t>Fuente: Agenda Legislativa Tech Perú 2026–2031 (https://unimauro.github.io/agenda-legislativa-tech/p/ECO-07.html),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29440, Ley de los Sistemas de Pagos y de Liquidación de Valores, para incorporar el servicio de iniciación de pagos, reforzar la prevención del fraude y la transparencia de comisiones a comercios en los pagos minoristas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