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FACILITA LA EXPORTACIÓN DE SERVICIOS DIGITALES Y DE SOFTWARE MEDIANTE LA SIMPLIFICACIÓN DE REQUISITOS DEL IMPUESTO GENERAL A LAS VENTAS Y LA DEVOLUCIÓN OPORTUNA DEL SALDO A FAVOR DEL EXPORTADOR</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FACILITA LA EXPORTACIÓN DE SERVICIOS DIGITALES Y DE SOFTWARE MEDIANTE LA SIMPLIFICACIÓN DE REQUISITOS DEL IMPUESTO GENERAL A LAS VENTAS Y LA DEVOLUCIÓN OPORTUNA DEL SALDO A FAVOR DEL EXPORTADOR</w:t>
      </w:r>
    </w:p>
    <w:p>
      <w:pPr>
        <w:jc w:val="both"/>
      </w:pPr>
      <w:r>
        <w:rPr>
          <w:b/>
        </w:rPr>
        <w:t>Artículo 1. Objeto</w:t>
        <w:br/>
      </w:r>
      <w:r>
        <w:t>La presente ley tiene por objeto facilitar la exportación de servicios digitales y de software, otorgando certeza jurídica sobre su calificación como exportación para efectos del Impuesto General a las Ventas y agilizando la devolución del saldo a favor del exportador a contribuyentes de bajo riesgo, sin crear exoneraciones.</w:t>
      </w:r>
    </w:p>
    <w:p>
      <w:pPr>
        <w:jc w:val="both"/>
      </w:pPr>
      <w:r>
        <w:rPr>
          <w:b/>
        </w:rPr>
        <w:t>Artículo 2. Incorporación de párrafo final en el artículo 33 del TUO de la Ley del IGV e ISC</w:t>
        <w:br/>
      </w:r>
      <w:r>
        <w:t>Se incorpora un párrafo final en el artículo 33 del Texto Único Ordenado de la Ley del Impuesto General a las Ventas e Impuesto Selectivo al Consumo, aprobado por Decreto Supremo 055-99-EF, en los siguientes términos:</w:t>
        <w:br/>
        <w:t>«Artículo 33. (…)</w:t>
        <w:br/>
        <w:t>Tratándose de servicios digitales, de desarrollo de software y de procesamiento de datos prestados íntegramente por medios electrónicos desde el país a un usuario no domiciliado, se presume, salvo prueba en contrario, que el uso, explotación o aprovechamiento tiene lugar en el extranjero cuando el usuario no tenga establecimiento permanente en el país conforme al artículo 14-A de la Ley del Impuesto a la Renta y el servicio no sea utilizado por una entidad domiciliada vinculada al usuario. La presunción se sustenta con el contrato u orden de servicio y el comprobante de pago electrónico de exportación, y no opera cuando el pago provenga de países o territorios no cooperantes o de baja o nula imposición, o cuando el servicio se utilice en el país. Para la definición de servicio digital se aplica la contenida en la presente ley conforme a la modificación efectuada por el Decreto Legislativo 1623.»</w:t>
      </w:r>
    </w:p>
    <w:p>
      <w:pPr>
        <w:jc w:val="both"/>
      </w:pPr>
      <w:r>
        <w:rPr>
          <w:b/>
        </w:rPr>
        <w:t>Artículo 3. Incorporación de párrafo final en el artículo 35 del TUO de la Ley del IGV e ISC</w:t>
        <w:br/>
      </w:r>
      <w:r>
        <w:t>Se incorpora un párrafo final en el artículo 35 del Texto Único Ordenado de la Ley del Impuesto General a las Ventas e Impuesto Selectivo al Consumo, aprobado por Decreto Supremo 055-99-EF, en los siguientes términos:</w:t>
        <w:br/>
        <w:t>«Artículo 35. (…)</w:t>
        <w:br/>
        <w:t>Las solicitudes de devolución del saldo a favor de exportadores de servicios cuyos ingresos netos anuales no superen 1700 UIT se resuelven en un plazo máximo de quince días hábiles, o en el plazo menor que establezca el reglamento, siempre que el contribuyente emita comprobantes electrónicos, no tenga deuda exigible, cuente con una antigüedad de inscripción y de operaciones no menor de doce meses y no presente alertas de riesgo según los perfiles de la SUNAT; en los demás casos se aplica el procedimiento general. La SUNAT puede verificar con posterioridad a la devolución y exigir garantía a contribuyentes de alto riesgo. Vencido el plazo sin pronunciamiento, el contribuyente puede considerar denegada su solicitud conforme al artículo 163 del Texto Único Ordenado del Código Tributario. Las devoluciones indebidas se recuperan con los intereses previstos en el artículo 38 de dicho código, sin perjuicio de las sanciones.»</w:t>
      </w:r>
    </w:p>
    <w:p>
      <w:pPr>
        <w:jc w:val="both"/>
      </w:pPr>
      <w:r>
        <w:rPr>
          <w:b/>
        </w:rPr>
        <w:t>Artículo 4. Registro de Exportadores de Servicios</w:t>
        <w:br/>
      </w:r>
      <w:r>
        <w:t>La inscripción en el Registro de Exportadores de Servicios se efectúa en línea y surte efectos desde la fecha de la solicitud, incluso respecto de las operaciones del mismo periodo, sin perjuicio de la fiscalización posterior. La SUNAT adecúa la resolución de superintendencia que regula dicho registro.</w:t>
      </w:r>
    </w:p>
    <w:p>
      <w:pPr>
        <w:jc w:val="both"/>
      </w:pPr>
      <w:r>
        <w:rPr>
          <w:b/>
        </w:rPr>
        <w:t>Artículo 5. Comprobantes electrónicos</w:t>
        <w:br/>
      </w:r>
      <w:r>
        <w:t>Los comprobantes de pago electrónicos emitidos por operaciones de exportación de servicios incorporan los datos que permitan a la SUNAT verificar automáticamente el cumplimiento de los requisitos del artículo 33 del TUO de la Ley del IGV e ISC y aplicar sus perfiles de riesgo.</w:t>
      </w:r>
    </w:p>
    <w:p>
      <w:pPr>
        <w:jc w:val="both"/>
      </w:pPr>
      <w:r>
        <w:rPr>
          <w:b/>
        </w:rPr>
        <w:t>Artículo 6. Información</w:t>
        <w:br/>
      </w:r>
      <w:r>
        <w:t>La SUNAT y PROMPERÚ publican anualmente estadísticas agregadas de exportación de servicios por tipo de servicio, tamaño de empresa y región, en formato de datos abiertos, sin publicar celdas con menos de tres contribuyentes, conforme a la reserva tributaria del artículo 85 del TUO del Código Tributario.</w:t>
      </w:r>
    </w:p>
    <w:p>
      <w:pPr>
        <w:jc w:val="both"/>
      </w:pPr>
      <w:r>
        <w:rPr>
          <w:b/>
        </w:rPr>
        <w:t>Artículo 7. Elementos de la Norma VII y evaluación</w:t>
        <w:br/>
      </w:r>
      <w:r>
        <w:t>7.1 Para efectos de la Norma VII del Título Preliminar del Código Tributario, en la medida en que la presunción del artículo 2 pueda implicar menor recaudación: su objetivo es dar certeza a la exportación de servicios digitales y mejorar la liquidez de MIPYME exportadoras; sus beneficiarios son los exportadores de servicios digitales y de software; y su plazo de vigencia es de tres años contados desde la entrada en vigor de la presente ley.</w:t>
        <w:br/>
        <w:t>7.2 El Ministerio de Economía y Finanzas publica, antes del vencimiento de dicho plazo, una evaluación de su efecto recaudatorio y de su uso, sin la cual no procede su prórroga.</w:t>
      </w:r>
    </w:p>
    <w:p>
      <w:pPr>
        <w:jc w:val="both"/>
      </w:pPr>
      <w:r>
        <w:rPr>
          <w:b/>
        </w:rPr>
        <w:t>Artículo 8. Financiamiento</w:t>
        <w:br/>
      </w:r>
      <w:r>
        <w:t>La implementación de la presente ley se financia con cargo al presupuesto institucional de la SUNAT y de PROMPERÚ, sin demandar recursos adicionales al Tesoro Público.</w:t>
      </w:r>
    </w:p>
    <w:p>
      <w:pPr>
        <w:jc w:val="both"/>
      </w:pPr>
      <w:r>
        <w:rPr>
          <w:b/>
        </w:rPr>
        <w:t>Primera. Disposición Complementaria Final</w:t>
        <w:br/>
      </w:r>
      <w:r>
        <w:t>Reglamentación. El Poder Ejecutivo, mediante decreto supremo refrendado por el ministro de Economía y Finanzas, adecúa el Reglamento de la Ley del IGV e ISC, aprobado por Decreto Supremo 029-94-EF, y el Reglamento de Notas de Crédito Negociables, aprobado por Decreto Supremo 126-94-EF, en el plazo de noventa días hábiles contados desde la entrada en vigor de la presente ley.</w:t>
      </w:r>
    </w:p>
    <w:p>
      <w:r>
        <w:t>Lima, ___ de __________ de 20__</w:t>
      </w:r>
    </w:p>
    <w:p>
      <w:r>
        <w:br w:type="page"/>
      </w:r>
    </w:p>
    <w:p>
      <w:pPr>
        <w:pStyle w:val="Heading1"/>
      </w:pPr>
      <w:r>
        <w:t>EXPOSICIÓN DE MOTIVOS</w:t>
      </w:r>
    </w:p>
    <w:p>
      <w:pPr>
        <w:pStyle w:val="Heading2"/>
      </w:pPr>
      <w:r>
        <w:t>I. Fundamentos y problema</w:t>
      </w:r>
    </w:p>
    <w:p>
      <w:pPr>
        <w:jc w:val="both"/>
      </w:pPr>
      <w:r>
        <w:t>Desde la Ley 30641 (vigente desde setiembre de 2017), la exportación de servicios dejó de ser una lista cerrada (se derogó el Apéndice V de la Ley del IGV) y se rige por requisitos concurrentes del artículo 33 de la Ley del IGV: prestación a título oneroso desde el país hacia el exterior, usuario no domiciliado, uso o aprovechamiento en el extranjero y registro previo en el Registro de Exportadores de Servicios de la SUNAT. En la práctica, para empresas de software, diseño, desarrollo de videojuegos, analítica de datos o servicios en la nube, acreditar que el servicio se aprovecha íntegramente en el extranjero es complejo cuando el servicio es remoto y el cliente tiene presencia global, y los informes de la SUNAT muestran controversias interpretativas recurrentes. Ello genera riesgo de que se exija IGV sobre servicios que compiten en mercados internacionales sin ese costo, y retrasos en la devolución del saldo a favor del exportador, que afecta la liquidez de MIPYME tecnológicas. El Plan Perú 2050 plantea elevar las exportaciones de alta tecnología y señala a la economía creativa y los servicios digitales como sectores de especialización. A la vez, los servicios intangibles facturados al exterior son una tipología reconocida de fraude de devoluciones y de lavado de activos basado en el comercio, por lo que cualquier facilitación debe acompañarse de salvaguardas de riesgo.</w:t>
      </w:r>
    </w:p>
    <w:p>
      <w:pPr>
        <w:pStyle w:val="Heading2"/>
      </w:pPr>
      <w:r>
        <w:t>II. Objeto</w:t>
      </w:r>
    </w:p>
    <w:p>
      <w:pPr>
        <w:jc w:val="both"/>
      </w:pPr>
      <w:r>
        <w:t>Dar certeza a la calificación como exportación de los servicios digitales y agilizar la devolución del saldo a favor del exportador, sin crear nuevas exoneraciones.</w:t>
      </w:r>
    </w:p>
    <w:p>
      <w:pPr>
        <w:pStyle w:val="Heading2"/>
      </w:pPr>
      <w:r>
        <w:t>III. Análisis costo-beneficio</w:t>
      </w:r>
    </w:p>
    <w:p>
      <w:pPr>
        <w:jc w:val="both"/>
      </w:pPr>
      <w:r>
        <w:t>La medida no crea exoneraciones: la exportación de servicios ya no está gravada con IGV y el exportador ya tiene derecho al saldo a favor. Su efecto fiscal tiene dos componentes: (i) el costo financiero de adelantar devoluciones a MIPYME de bajo riesgo, acotado por antigüedad mínima, perfiles de riesgo y garantía; y (ii) un posible efecto recaudatorio si la presunción reclasifica servicios hoy considerados aprovechados en el país, mitigado por la prueba en contrario, la exclusión de vinculados y de jurisdicciones no cooperantes, y una vigencia de tres años con evaluación del MEF (Norma VII). Por ser materia tributaria, requiere informe previo del MEF durante el estudio en comisión (art. 79 de la Constitución) y debe ser asumida por el Poder Ejecutivo o por congresistas, pues la Ley 26300 excluye esta materia de la iniciativa ciudadana. Los beneficios son menor riesgo tributario y mejor liquidez para exportadores de software y servicios digitales.</w:t>
      </w:r>
    </w:p>
    <w:p>
      <w:pPr>
        <w:pStyle w:val="Heading2"/>
      </w:pPr>
      <w:r>
        <w:t>IV. Efecto de la vigencia de la norma sobre la legislación nacional</w:t>
      </w:r>
    </w:p>
    <w:p>
      <w:pPr>
        <w:jc w:val="both"/>
      </w:pPr>
      <w:r>
        <w:t>Modifica el TUO de la Ley del IGV e ISC (Decreto Supremo 055-99-EF): incorpora un párrafo final en el artículo 33 (en su redacción dada por la Ley 30641) y un párrafo final en el artículo 35. Concordante con el Decreto Legislativo 1623 (servicios digitales), el artículo 14-A de la Ley del Impuesto a la Renta y los artículos 38, 85 y 163 del TUO del Código Tributario. Ordena adecuar los Decretos Supremos 029-94-EF y 126-94-EF. Sujeta a la Norma VII del Código Tributario. No deroga normas.</w:t>
      </w:r>
    </w:p>
    <w:p>
      <w:pPr>
        <w:pStyle w:val="Heading2"/>
      </w:pPr>
      <w:r>
        <w:t>V. Antecedentes</w:t>
      </w:r>
    </w:p>
    <w:p>
      <w:pPr>
        <w:jc w:val="both"/>
      </w:pPr>
      <w:r>
        <w:t>Ley 30641 (2017) reformó la exportación de servicios. Según la revisión normativa (SPLEY): Proyecto 02546/2021-CR, que modifica el TUO de la Ley del IGV e ISC (en comisión); Proyectos 08631/2024-CR y 09115/2024-CR, que proponen derogar el Decreto Legislativo 1623 sobre servicios digitales (en comisión).</w:t>
      </w:r>
    </w:p>
    <w:p>
      <w:pPr>
        <w:pStyle w:val="Heading2"/>
      </w:pPr>
      <w:r>
        <w:t>VI. Indicador de éxito</w:t>
      </w:r>
    </w:p>
    <w:p>
      <w:pPr>
        <w:jc w:val="both"/>
      </w:pPr>
      <w:r>
        <w:t>Al 2031, estadística anual de exportación de servicios digitales publicada en datos abiertos y plazo promedio de devolución a MIPYME exportadoras de servicios no mayor de 15 días hábiles.</w:t>
      </w:r>
    </w:p>
    <w:p>
      <w:pPr>
        <w:pStyle w:val="Heading2"/>
      </w:pPr>
      <w:r>
        <w:t>Normas que modifica y entidades implicadas</w:t>
      </w:r>
    </w:p>
    <w:p>
      <w:pPr>
        <w:pStyle w:val="ListBullet"/>
      </w:pPr>
      <w:r>
        <w:t>TUO de la Ley del IGV e ISC, D.S. 055-99-EF, art. 33 (párrafo final) — incorpora</w:t>
      </w:r>
    </w:p>
    <w:p>
      <w:pPr>
        <w:pStyle w:val="ListBullet"/>
      </w:pPr>
      <w:r>
        <w:t>TUO de la Ley del IGV e ISC, D.S. 055-99-EF, art. 35 (párrafo final) — incorpora</w:t>
      </w:r>
    </w:p>
    <w:p>
      <w:pPr>
        <w:pStyle w:val="ListBullet"/>
      </w:pPr>
      <w:r>
        <w:t>Decreto Legislativo 1623, definición de servicio digital (concordancia) — complementa</w:t>
      </w:r>
    </w:p>
    <w:p>
      <w:pPr>
        <w:pStyle w:val="ListBullet"/>
      </w:pPr>
      <w:r>
        <w:t>TUO del Código Tributario, D.S. 133-2013-EF, Norma VII, arts. 38, 85 y 163 — complementa</w:t>
      </w:r>
    </w:p>
    <w:p>
      <w:pPr>
        <w:pStyle w:val="ListBullet"/>
      </w:pPr>
      <w:r>
        <w:t>MEF (rectora): Emite informe previo (art. 79), adecúa reglamentos (DCF Primera) y evalúa la presunción antes de su vencimiento (art. 7.2).</w:t>
      </w:r>
    </w:p>
    <w:p>
      <w:pPr>
        <w:pStyle w:val="ListBullet"/>
      </w:pPr>
      <w:r>
        <w:t>SUNAT (ejecutora): Aplica la presunción y sus exclusiones, resuelve devoluciones en 15 días con perfiles de riesgo (arts. 2-3), adecúa el registro (art. 4) y publica estadísticas (art. 6).</w:t>
      </w:r>
    </w:p>
    <w:p>
      <w:pPr>
        <w:pStyle w:val="ListBullet"/>
      </w:pPr>
      <w:r>
        <w:t>PROMPERÚ (ejecutora): Publica estadísticas agregadas con la SUNAT (art. 6).</w:t>
      </w:r>
    </w:p>
    <w:p>
      <w:pPr>
        <w:pStyle w:val="ListBullet"/>
      </w:pPr>
      <w:r>
        <w:t>UIF-Perú (consultiva): Insumo de tipologías de lavado basado en servicios para los perfiles de riesgo (art. 3).</w:t>
      </w:r>
    </w:p>
    <w:p>
      <w:pPr>
        <w:pStyle w:val="Heading2"/>
      </w:pPr>
      <w:r>
        <w:t>Impacto económico estimado (referencial)</w:t>
      </w:r>
    </w:p>
    <w:p>
      <w:pPr>
        <w:pStyle w:val="ListBullet"/>
      </w:pPr>
      <w:r>
        <w:t>Tipo: gasto</w:t>
      </w:r>
    </w:p>
    <w:p>
      <w:pPr>
        <w:pStyle w:val="ListBullet"/>
      </w:pPr>
      <w:r>
        <w:t>Costo para el Estado: Costo financiero estimado S/ 0,3–1,5 millones/año; efecto recaudatorio de la presunción no cuantificable con información pública</w:t>
      </w:r>
    </w:p>
    <w:p>
      <w:pPr>
        <w:pStyle w:val="ListBullet"/>
      </w:pPr>
      <w:r>
        <w:t>Financiamiento: Menor recaudación temporal / costo financiero de la caja fiscal; administración con presupuesto de SUNAT y PROMPERÚ. Requiere informe previo del MEF antes del dictamen (art. 79).</w:t>
      </w:r>
    </w:p>
    <w:p>
      <w:pPr>
        <w:pStyle w:val="ListBullet"/>
      </w:pPr>
      <w:r>
        <w:t>Supuestos: Estimación del editor: devoluciones de saldo a favor a exportadores de servicios MIPYME elegibles de S/ 50–150 millones/año (supuesto, sin dato público desagregado), adelantadas en promedio 30–60 días, con costo de oportunidad del 5 % anual. El efecto de la presunción depende de cuántos servicios hoy observados por la SUNAT se reclasifiquen; no hay estadística pública.</w:t>
      </w:r>
    </w:p>
    <w:p>
      <w:pPr>
        <w:pStyle w:val="ListBullet"/>
      </w:pPr>
      <w:r>
        <w:t>Beneficio para el Estado: Menor litigiosidad tributaria sobre exportación de servicios; perfiles de riesgo que reducen devoluciones indebidas.</w:t>
      </w:r>
    </w:p>
    <w:p>
      <w:pPr>
        <w:pStyle w:val="ListBullet"/>
      </w:pPr>
      <w:r>
        <w:t>Beneficio para la sociedad: Liquidez y certeza para exportadores de software y servicios digitales; competitividad frente a mercados internacionales. No cuantificable con información pública.</w:t>
      </w:r>
    </w:p>
    <w:p>
      <w:pPr>
        <w:pStyle w:val="ListBullet"/>
      </w:pPr>
      <w:r>
        <w:t>Inversión privada: Posible atracción de centros de servicios digitales exportadores; monto no estimable.</w:t>
      </w:r>
    </w:p>
    <w:p>
      <w:pPr>
        <w:pStyle w:val="ListBullet"/>
      </w:pPr>
      <w:r>
        <w:t>Costo para privados: Documentación contractual y datos adicionales en comprobantes electrónicos; garantías para contribuyentes de alto riesgo.</w:t>
      </w:r>
    </w:p>
    <w:p>
      <w:pPr>
        <w:pStyle w:val="ListBullet"/>
      </w:pPr>
      <w:r>
        <w:t>Riesgos: Exportaciones ficticias y lavado de activos basado en servicios (mitigados con antigüedad, perfiles, exclusión de jurisdicciones no cooperantes y garantía); reclasificación de servicios usados en el país.</w:t>
      </w:r>
    </w:p>
    <w:p>
      <w:pPr>
        <w:pStyle w:val="Heading2"/>
      </w:pPr>
      <w:r>
        <w:t>VII. Vinculación con la Agenda Legislativa y el Plan Perú 2050</w:t>
      </w:r>
    </w:p>
    <w:p>
      <w:r>
        <w:t>Comisiones temáticas del Plan Perú 2050: Comercio Exterior E Inserción en El Mercado Externo, Capital Del Conocimiento, Competitividad. ODS: 8, 9, 17.</w:t>
      </w:r>
    </w:p>
    <w:p>
      <w:pPr>
        <w:pStyle w:val="Heading2"/>
      </w:pPr>
      <w:r>
        <w:t>VIII. Referencias</w:t>
      </w:r>
    </w:p>
    <w:p>
      <w:pPr>
        <w:pStyle w:val="ListBullet"/>
      </w:pPr>
      <w:r>
        <w:t>TUO de la Ley del IGV e ISC (D.S. 055-99-EF) — https://www.sunat.gob.pe/legislacion/igv/ley/index.html</w:t>
      </w:r>
    </w:p>
    <w:p>
      <w:pPr>
        <w:pStyle w:val="ListBullet"/>
      </w:pPr>
      <w:r>
        <w:t>Ley 30641, Ley que fomenta la exportación de servicios y el turismo (modifica el art. 33 de la Ley del IGV) — https://www.leyes.congreso.gob.pe/Documentos/2016_2021/ADLP/Normas_Legales/30641-LEY.pdf</w:t>
      </w:r>
    </w:p>
    <w:p>
      <w:pPr>
        <w:pStyle w:val="ListBullet"/>
      </w:pPr>
      <w:r>
        <w:t>TUO del Código Tributario (D.S. 133-2013-EF), incluida la Norma VII del Título Preliminar y el art. 85 (reserva tributaria) — https://www.sunat.gob.pe/legislacion/codigo/</w:t>
      </w:r>
    </w:p>
    <w:p>
      <w:pPr>
        <w:pStyle w:val="ListBullet"/>
      </w:pPr>
      <w:r>
        <w:t>Decreto Legislativo 1623, que modifica la Ley del IGV respecto de servicios digitales prestados por no domiciliados — https://elperuano.pe/noticia/249505-d-leg-no-1623-esta-es-la-norma-para-recaudar-igv-por-uso-de-servicios-digitales-en-el-peru</w:t>
      </w:r>
    </w:p>
    <w:p>
      <w:pPr>
        <w:pStyle w:val="ListBullet"/>
      </w:pPr>
      <w:r>
        <w:t>Unión Europea: Directiva 2006/112/CE, art. 44 (lugar de prestación de servicios entre empresarios) — https://eur-lex.europa.eu/eli/dir/2006/112/oj</w:t>
      </w:r>
    </w:p>
    <w:p>
      <w:pPr>
        <w:pStyle w:val="ListBullet"/>
      </w:pPr>
      <w:r>
        <w:t>Garrigues — Perú: Ley que fomenta la exportación de servicios y el turismo — https://www.garrigues.com/es_ES/noticia/peru-ley-que-fomenta-la-exportacion-de-servicios-y-el-turismo</w:t>
      </w:r>
    </w:p>
    <w:p>
      <w:pPr>
        <w:pStyle w:val="ListBullet"/>
      </w:pPr>
      <w:r>
        <w:t>Ley 30641 (texto oficial, Congreso) — https://www.leyes.congreso.gob.pe/Documentos/2016_2021/ADLP/Normas_Legales/30641-LEY.pdf</w:t>
      </w:r>
    </w:p>
    <w:p>
      <w:pPr>
        <w:pStyle w:val="ListBullet"/>
      </w:pPr>
      <w:r>
        <w:t>SUNAT — TUO de la Ley del IGV e ISC — https://www.sunat.gob.pe/legislacion/igv/ley/index.html</w:t>
      </w:r>
    </w:p>
    <w:p>
      <w:r>
        <w:t>Fuente: Agenda Legislativa Tech Perú 2026–2031 (https://unimauro.github.io/agenda-legislativa-tech/p/ECO-12.html),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facilita la exportación de servicios digitales y de software mediante la simplificación de requisitos del Impuesto General a las Ventas y la devolución oportuna del saldo a favor del exportador</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