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LOS DATOS SINTÉTICOS, LOS ENTORNOS SEGUROS DE ACCESO A DATOS PÚBLICOS Y LA REIDENTIFICACIÓN PARA LA INVESTIGACIÓN Y LA INTELIGENCIA ARTIFICIAL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LOS DATOS SINTÉTICOS, LOS ENTORNOS SEGUROS DE ACCESO A DATOS PÚBLICOS Y LA REIDENTIFICACIÓN PARA LA INVESTIGACIÓN Y LA INTELIGENCIA ARTIFICIAL</w:t>
      </w:r>
    </w:p>
    <w:p>
      <w:pPr>
        <w:jc w:val="both"/>
      </w:pPr>
      <w:r>
        <w:rPr>
          <w:b/>
        </w:rPr>
        <w:t>Artículo 1. Objeto</w:t>
        <w:br/>
      </w:r>
      <w:r>
        <w:t>La presente ley tiene por objeto habilitar la reutilización segura de datos públicos para la investigación y el desarrollo de inteligencia artificial, mediante reglas sobre datos sintéticos, entornos seguros de acceso y reidentificación, garantizando la protección de datos personales.</w:t>
      </w:r>
    </w:p>
    <w:p>
      <w:pPr>
        <w:jc w:val="both"/>
      </w:pPr>
      <w:r>
        <w:rPr>
          <w:b/>
        </w:rPr>
        <w:t>Artículo 2. Definiciones</w:t>
        <w:br/>
      </w:r>
      <w:r>
        <w:t>2.1. Los términos anonimización y disociación tienen el significado que les atribuye el artículo 2 de la Ley 29733, Ley de Protección de Datos Personales.</w:t>
        <w:br/>
        <w:t>2.2. Para efectos de la presente ley se entiende por: a) Datos sintéticos: datos generados artificialmente a partir de modelos estadísticos o de inteligencia artificial que reproducen propiedades de un conjunto original sin corresponder a personas reales; b) Entorno seguro de acceso: infraestructura controlada donde investigadores acreditados analizan datos disociados sin poder extraer datos individuales.</w:t>
      </w:r>
    </w:p>
    <w:p>
      <w:pPr>
        <w:jc w:val="both"/>
      </w:pPr>
      <w:r>
        <w:rPr>
          <w:b/>
        </w:rPr>
        <w:t>Artículo 3. Estándar de anonimización y de datos sintéticos</w:t>
        <w:br/>
      </w:r>
      <w:r>
        <w:t>3.1. La Autoridad Nacional de Protección de Datos Personales, en coordinación con el Instituto Nacional de Estadística e Informática (INEI) y la Secretaría de Gobierno y Transformación Digital de la Presidencia del Consejo de Ministros, aprueba mediante resolución publicada en el diario oficial El Peruano el estándar técnico de anonimización y de generación y evaluación de datos sintéticos, que incluye pruebas de riesgo de reidentificación y de inferencia de pertenencia y métricas de utilidad. El estándar se revisa al menos cada dos años y es el estándar nacional de referencia para la anonimización de datos públicos.</w:t>
        <w:br/>
        <w:t>3.2. Los datos anonimizados y los datos sintéticos que superen las pruebas del estándar se presumen no personales para efectos de la Ley 29733, salvo que se acredite que permiten identificar a una persona con medios razonablemente previsibles. El responsable conserva la documentación de las pruebas y repite la evaluación cuando cambien las técnicas disponibles. Si se comprueba que un conjunto permite identificar a personas, recupera la condición de dato personal y la entidad suspende su difusión y aplica nuevamente el procedimiento.</w:t>
      </w:r>
    </w:p>
    <w:p>
      <w:pPr>
        <w:jc w:val="both"/>
      </w:pPr>
      <w:r>
        <w:rPr>
          <w:b/>
        </w:rPr>
        <w:t>Artículo 4. Entornos seguros de acceso</w:t>
        <w:br/>
      </w:r>
      <w:r>
        <w:t>4.1. El INEI y las entidades que custodien registros administrativos de alto valor pueden implementar entornos seguros de acceso para investigadores acreditados, preferentemente mediante un entorno centralizado con acceso remoto para varias entidades.</w:t>
        <w:br/>
        <w:t>4.2. El acceso se otorga por proyecto, con finalidad de interés público o científico, compromiso de confidencialidad, registro de consultas y control de los resultados antes de su extracción para impedir la divulgación de casos individuales. La relación de proyectos autorizados se publica.</w:t>
        <w:br/>
        <w:t>4.3. Los entornos seguros cumplen como mínimo: autenticación multifactor; ausencia de canales de salida de datos no autorizados; registro y conservación de las consultas y accesos; cifrado en reposo; y notificación de incidentes al Centro Nacional de Seguridad Digital y a la Autoridad Nacional de Protección de Datos Personales conforme a la normativa vigente.</w:t>
        <w:br/>
        <w:t>4.4. El acceso a datos disociados en entornos seguros de acceso conforme a la presente ley no vulnera el secreto estadístico regulado en el artículo 97 del Decreto Legislativo 604, Ley de Organización y Funciones del Instituto Nacional de Estadística e Informática, siempre que no se divulguen resultados que permitan identificar a los informantes. No comprende la información protegida por el secreto bancario ni por la reserva tributaria.</w:t>
      </w:r>
    </w:p>
    <w:p>
      <w:pPr>
        <w:jc w:val="both"/>
      </w:pPr>
      <w:r>
        <w:rPr>
          <w:b/>
        </w:rPr>
        <w:t>Artículo 5. Acreditación de investigadores y salvaguardas para datos sensibles</w:t>
        <w:br/>
      </w:r>
      <w:r>
        <w:t>5.1. Pueden acreditarse investigadores de universidades, institutos de investigación y entidades públicas, y de empresas en proyectos colaborativos con estos, conforme a los requisitos del reglamento, que incluyen capacitación en protección de datos y la suscripción de un acuerdo de uso.</w:t>
        <w:br/>
        <w:t>5.2. Tratándose de datos sensibles, el acceso requiere además: a) evaluación de impacto en protección de datos aprobada por la entidad custodia; b) aprobación del proyecto por un comité de ética de la investigación registrado; y c) que la finalidad no pueda alcanzarse con datos anonimizados o sintéticos.</w:t>
      </w:r>
    </w:p>
    <w:p>
      <w:pPr>
        <w:jc w:val="both"/>
      </w:pPr>
      <w:r>
        <w:rPr>
          <w:b/>
        </w:rPr>
        <w:t>Artículo 6. Modificación del numeral 8 del artículo 14 de la Ley 29733</w:t>
        <w:br/>
      </w:r>
      <w:r>
        <w:t>Se modifica el numeral 8 del artículo 14 de la Ley 29733, Ley de Protección de Datos Personales, en los términos siguientes:</w:t>
        <w:br/>
        <w:t>«Artículo 14. Limitaciones al consentimiento para el tratamiento de datos personales</w:t>
        <w:br/>
        <w:t>No se requiere el consentimiento del titular de datos personales, para los efectos de su tratamiento, en los siguientes casos:</w:t>
        <w:br/>
        <w:t>(…)</w:t>
        <w:br/>
        <w:t>8. Cuando se hubiera aplicado un procedimiento de anonimización o disociación. El tratamiento de datos disociados de entidades públicas con fines de investigación científica o estadística de interés público, incluido el desarrollo y evaluación de sistemas de inteligencia artificial, se realiza preferentemente en un entorno seguro de acceso autorizado conforme a ley, sin adoptar decisiones sobre personas concretas; el reglamento establece los casos en que puede autorizarse su transferencia fuera de dichos entornos.</w:t>
        <w:br/>
        <w:t>(…)»</w:t>
      </w:r>
    </w:p>
    <w:p>
      <w:pPr>
        <w:jc w:val="both"/>
      </w:pPr>
      <w:r>
        <w:rPr>
          <w:b/>
        </w:rPr>
        <w:t>Artículo 7. Reidentificación: prohibición, infracción y excepción de buena fe</w:t>
        <w:br/>
      </w:r>
      <w:r>
        <w:t>7.1. Se prohíbe reidentificar a personas a partir de datos anonimizados, disociados o sintéticos fuera de los supuestos autorizados, así como utilizar, divulgar o comercializar datos reidentificados.</w:t>
        <w:br/>
        <w:t>7.2. Constituye infracción muy grave, imputable a cualquier persona natural o jurídica y sancionable por la Autoridad Nacional de Protección de Datos Personales con multa conforme al artículo 39 de la Ley 29733 y a su procedimiento sancionador, la conducta prohibida en el numeral 7.1, sin perjuicio de la responsabilidad penal que corresponda.</w:t>
        <w:br/>
        <w:t>7.3. No constituye infracción la prueba de reidentificación realizada por la entidad responsable como prueba de robustez, ni la realizada con fines de investigación o de verificación de la seguridad, siempre que: a) no se divulguen ni utilicen los datos de personas reidentificadas; b) se comunique el hallazgo a la entidad responsable y a la Autoridad Nacional de Protección de Datos Personales dentro de los diez días hábiles siguientes; c) se destruyan los datos reidentificados; y d) la publicación de resultados se haga de forma agregada y una vez adoptadas las medidas correctivas o transcurridos noventa días desde la comunicación.</w:t>
      </w:r>
    </w:p>
    <w:p>
      <w:pPr>
        <w:jc w:val="both"/>
      </w:pPr>
      <w:r>
        <w:rPr>
          <w:b/>
        </w:rPr>
        <w:t>Artículo 8. Uso de datos sintéticos en el Estado</w:t>
        <w:br/>
      </w:r>
      <w:r>
        <w:t>Las entidades públicas priorizan el uso de datos sintéticos que cumplan el estándar para pruebas de software, capacitación y entrenamiento inicial de sistemas de inteligencia artificial, cuando ello sea técnicamente viable.</w:t>
      </w:r>
    </w:p>
    <w:p>
      <w:pPr>
        <w:jc w:val="both"/>
      </w:pPr>
      <w:r>
        <w:rPr>
          <w:b/>
        </w:rPr>
        <w:t>Primera. Disposición Complementaria Final</w:t>
        <w:br/>
      </w:r>
      <w:r>
        <w:t>Reglamentación. El Poder Ejecutivo, mediante decreto supremo refrendado por el ministro de Justicia y Derechos Humanos y el presidente del Consejo de Ministros, reglamenta la presente ley en un plazo de ciento veinte días hábiles contados a partir del día siguiente de su publicación, y adecúa los artículos 41 y 134 del Reglamento de la Ley 29733, aprobado por Decreto Supremo 016-2024-JUS.</w:t>
      </w:r>
    </w:p>
    <w:p>
      <w:pPr>
        <w:jc w:val="both"/>
      </w:pPr>
      <w:r>
        <w:rPr>
          <w:b/>
        </w:rPr>
        <w:t>Segunda. Disposición Complementaria Final</w:t>
        <w:br/>
      </w:r>
      <w:r>
        <w:t>Financiamiento. La implementación se financia con cargo al presupuesto institucional de las entidades involucradas, sin demandar recursos adicionales al Tesoro Público.</w:t>
      </w:r>
    </w:p>
    <w:p>
      <w:pPr>
        <w:jc w:val="both"/>
      </w:pPr>
      <w:r>
        <w:rPr>
          <w:b/>
        </w:rPr>
        <w:t>Tercera. Disposición Complementaria Final</w:t>
        <w:br/>
      </w:r>
      <w:r>
        <w:t>Vigencia. La presente ley entra en vigencia al día siguiente de su publicación en el diario oficial El Peruano. Los artículos 4 y 5 son exigibles desde la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investigación y el desarrollo de IA requieren datos detallados (microdatos de salud, educación, programas sociales, registros administrativos), pero su apertura choca legítimamente con la protección de datos personales. La Ley 29733 define la anonimización (irreversible) y la disociación (reversible) y exime de consentimiento el tratamiento de datos anonimizados o disociados (art. 14, numeral 8), y el Reglamento aprobado por D.S. 016-2024-JUS encarga a la Autoridad Nacional de Protección de Datos Personales aprobar disposiciones complementarias u orientativas sobre disociación y anonimización (art. 41.3). Sin embargo, no existen reglas legales sobre datos sintéticos —que pueden memorizar y reproducir registros reales— ni sobre entornos seguros donde investigadores acreditados analicen datos disociados sin extraerlos, y el secreto estadístico del Decreto Legislativo 604 impide al INEI habilitar ese acceso sin norma de rango legal. Como consecuencia, muchas entidades optan por no compartir datos ante el riesgo de sanción, o los comparten sin garantías suficientes. Además, la reidentificación de personas a partir de datos supuestamente anónimos, técnicamente más sencilla con IA, no está tipificada como infracción imputable a cualquier persona, y una prohibición mal diseñada podría sancionar a investigadores que, de buena fe, detectan anonimizaciones defectuosas. El Plan IA Perú 2050 (CIP/CNPP) plantea los datos como activo nacional. Las guías de la ICO británica, el NIST (SP 800-188) y el Reglamento (UE) 2022/868 de gobernanza de datos ofrecen modelos verificables.</w:t>
      </w:r>
    </w:p>
    <w:p>
      <w:pPr>
        <w:pStyle w:val="Heading2"/>
      </w:pPr>
      <w:r>
        <w:t>II. Objeto</w:t>
      </w:r>
    </w:p>
    <w:p>
      <w:pPr>
        <w:jc w:val="both"/>
      </w:pPr>
      <w:r>
        <w:t>Establecer el régimen de datos sintéticos, de entornos seguros de acceso a datos públicos disociados para investigación e IA y de la reidentificación, articulado con la Ley 29733 y el secreto estadístico.</w:t>
      </w:r>
    </w:p>
    <w:p>
      <w:pPr>
        <w:pStyle w:val="Heading2"/>
      </w:pPr>
      <w:r>
        <w:t>III. Análisis costo-beneficio</w:t>
      </w:r>
    </w:p>
    <w:p>
      <w:pPr>
        <w:jc w:val="both"/>
      </w:pPr>
      <w:r>
        <w:t>El costo es bajo a moderado: el INEI ya administra microdatos y puede ampliar sus servicios de acceso; un entorno seguro centralizado con acceso remoto para varias entidades es más eficiente que entornos por entidad. El beneficio es destrabar el uso de datos públicos para investigación en políticas sociales, salud y educación, y para entrenar y evaluar modelos con información nacional, sin sacrificar la privacidad. La tipificación de la reidentificación disuade abusos, mientras la excepción de buena fe preserva la investigación que detecta anonimizaciones defectuosas. La presunción refutable sobre datos anonimizados y sintéticos evita dejar sin tutela a las personas si el avance técnico permite reidentificarlas. Conforme al art. 79 de la Constitución, la ley no impone gasto (los entornos son facultativos, art. 4.1); requiere opinión del MEF antes del dictamen.</w:t>
      </w:r>
    </w:p>
    <w:p>
      <w:pPr>
        <w:pStyle w:val="Heading2"/>
      </w:pPr>
      <w:r>
        <w:t>IV. Efecto de la vigencia de la norma sobre la legislación nacional</w:t>
      </w:r>
    </w:p>
    <w:p>
      <w:pPr>
        <w:jc w:val="both"/>
      </w:pPr>
      <w:r>
        <w:t>Modifica el numeral 8 del art. 14 de la Ley 29733 (texto del numeral por verificar contra el texto vigente). Tipifica en la propia ley una infracción muy grave sancionable conforme al art. 39 de la Ley 29733 y dispone adecuar los arts. 41 y 134 del D.S. 016-2024-JUS. Establece una excepción expresa al secreto estadístico del art. 97 del D.Leg. 604 limitada a entornos seguros, sin afectar secreto bancario ni reserva tributaria. Complementa el D.L. 1412 y el D.U. 007-2020. Coordinado con IA-04 (apertura de datos) e IA-08 (datos clínicos), que remiten a este estándar. No deroga normas.</w:t>
      </w:r>
    </w:p>
    <w:p>
      <w:pPr>
        <w:pStyle w:val="Heading2"/>
      </w:pPr>
      <w:r>
        <w:t>V. Antecedentes</w:t>
      </w:r>
    </w:p>
    <w:p>
      <w:pPr>
        <w:jc w:val="both"/>
      </w:pPr>
      <w:r>
        <w:t>No se identificaron en SPLEY proyectos del periodo 2021-2026 sobre anonimización o datos sintéticos (búsqueda de la revisión de concordancia normativa; por confirmar al dictaminar). Relacionado: PL 04708/2022-CR, que modifica la Ley 29733.</w:t>
      </w:r>
    </w:p>
    <w:p>
      <w:pPr>
        <w:pStyle w:val="Heading2"/>
      </w:pPr>
      <w:r>
        <w:t>VI. Indicador de éxito</w:t>
      </w:r>
    </w:p>
    <w:p>
      <w:pPr>
        <w:jc w:val="both"/>
      </w:pPr>
      <w:r>
        <w:t>Al 2031, estándar de anonimización y datos sintéticos aprobado y al menos cinco entornos seguros de acceso operativos (INEI y cuatro registros administrativos de alto valor) con proyectos autorizados publicados.</w:t>
      </w:r>
    </w:p>
    <w:p>
      <w:pPr>
        <w:pStyle w:val="Heading2"/>
      </w:pPr>
      <w:r>
        <w:t>Normas que modifica y entidades implicadas</w:t>
      </w:r>
    </w:p>
    <w:p>
      <w:pPr>
        <w:pStyle w:val="ListBullet"/>
      </w:pPr>
      <w:r>
        <w:t>Ley 29733, Ley de Protección de Datos Personales, art. 14, numeral 8 — modifica</w:t>
      </w:r>
    </w:p>
    <w:p>
      <w:pPr>
        <w:pStyle w:val="ListBullet"/>
      </w:pPr>
      <w:r>
        <w:t>Ley 29733, Ley de Protección de Datos Personales, art. 39 (multa aplicable a nueva infracción muy grave) — complementa</w:t>
      </w:r>
    </w:p>
    <w:p>
      <w:pPr>
        <w:pStyle w:val="ListBullet"/>
      </w:pPr>
      <w:r>
        <w:t>Decreto Legislativo 604, art. 97 (secreto estadístico) — complementa</w:t>
      </w:r>
    </w:p>
    <w:p>
      <w:pPr>
        <w:pStyle w:val="ListBullet"/>
      </w:pPr>
      <w:r>
        <w:t>Decreto Supremo 016-2024-JUS, arts. 41 y 134 — complementa</w:t>
      </w:r>
    </w:p>
    <w:p>
      <w:pPr>
        <w:pStyle w:val="ListBullet"/>
      </w:pPr>
      <w:r>
        <w:t>ANPD (sancionadora): Aprueba y revisa el estándar (art. 3), recibe reportes de buena fe (art. 7.3) y sanciona la reidentificación (art. 7.2).</w:t>
      </w:r>
    </w:p>
    <w:p>
      <w:pPr>
        <w:pStyle w:val="ListBullet"/>
      </w:pPr>
      <w:r>
        <w:t>INEI (ejecutora): Coordina el estándar y puede operar el entorno seguro centralizado con control de divulgación (arts. 3.1 y 4).</w:t>
      </w:r>
    </w:p>
    <w:p>
      <w:pPr>
        <w:pStyle w:val="ListBullet"/>
      </w:pPr>
      <w:r>
        <w:t>PCM-SGTD (consultiva): Coordina el estándar y la infraestructura (art. 3.1); co-refrenda el reglamento.</w:t>
      </w:r>
    </w:p>
    <w:p>
      <w:pPr>
        <w:pStyle w:val="ListBullet"/>
      </w:pPr>
      <w:r>
        <w:t>CNSD (supervisora): Recibe notificaciones de incidentes en entornos seguros (art. 4.3).</w:t>
      </w:r>
    </w:p>
    <w:p>
      <w:pPr>
        <w:pStyle w:val="ListBullet"/>
      </w:pPr>
      <w:r>
        <w:t>Entidades custodias de registros administrativos (MINSA, MINEDU, MIDIS, RENIEC, entre otras) (ejecutora): Pueden habilitar acceso en entornos seguros y aprueban evaluaciones de impacto para datos sensibles (arts. 4 y 5.2).</w:t>
      </w:r>
    </w:p>
    <w:p>
      <w:pPr>
        <w:pStyle w:val="Heading2"/>
      </w:pPr>
      <w:r>
        <w:t>Impacto económico estimado (referencial)</w:t>
      </w:r>
    </w:p>
    <w:p>
      <w:pPr>
        <w:pStyle w:val="ListBullet"/>
      </w:pPr>
      <w:r>
        <w:t>Tipo: gasto</w:t>
      </w:r>
    </w:p>
    <w:p>
      <w:pPr>
        <w:pStyle w:val="ListBullet"/>
      </w:pPr>
      <w:r>
        <w:t>Costo para el Estado: No cuantificable con información pública</w:t>
      </w:r>
    </w:p>
    <w:p>
      <w:pPr>
        <w:pStyle w:val="ListBullet"/>
      </w:pPr>
      <w:r>
        <w:t>Financiamiento: Presupuesto institucional del INEI, la ANPD y las entidades custodias, sin demandar recursos adicionales al Tesoro Público. Requiere coordinación con el Poder Ejecutivo e informe previo del MEF antes del dictamen (art. 79; STC 00018-2023-PI/TC).</w:t>
      </w:r>
    </w:p>
    <w:p>
      <w:pPr>
        <w:pStyle w:val="ListBullet"/>
      </w:pPr>
      <w:r>
        <w:t>Supuestos: Los entornos seguros son facultativos (art. 4.1); su costo depende de si se implementa un entorno centralizado en el INEI (escritorio virtual sin salida de datos) y de la demanda de proyectos, sin costo unitario público verificable. El estándar se elabora con personal existente de la ANPD y el INEI.</w:t>
      </w:r>
    </w:p>
    <w:p>
      <w:pPr>
        <w:pStyle w:val="ListBullet"/>
      </w:pPr>
      <w:r>
        <w:t>Beneficio para el Estado: Mejores evaluaciones de políticas públicas con registros administrativos; menor riesgo de brechas por compartir datos sin garantías. Cualitativo.</w:t>
      </w:r>
    </w:p>
    <w:p>
      <w:pPr>
        <w:pStyle w:val="ListBullet"/>
      </w:pPr>
      <w:r>
        <w:t>Beneficio para la sociedad: Investigación con datos nacionales y protección reforzada frente a la reidentificación. Cualitativo.</w:t>
      </w:r>
    </w:p>
    <w:p>
      <w:pPr>
        <w:pStyle w:val="ListBullet"/>
      </w:pPr>
      <w:r>
        <w:t>Inversión privada: Proyectos colaborativos empresa-academia con acceso a datos; no cuantificable.</w:t>
      </w:r>
    </w:p>
    <w:p>
      <w:pPr>
        <w:pStyle w:val="ListBullet"/>
      </w:pPr>
      <w:r>
        <w:t>Costo para privados: Investigadores: acreditación, acuerdos de uso y, para datos sensibles, comité de ética; costo bajo.</w:t>
      </w:r>
    </w:p>
    <w:p>
      <w:pPr>
        <w:pStyle w:val="ListBullet"/>
      </w:pPr>
      <w:r>
        <w:t>Riesgos: Exfiltración desde entornos seguros; datos sintéticos que memorizan registros reales; uso abusivo de la excepción de buena fe; baja adopción si no se habilita un entorno centralizado.</w:t>
      </w:r>
    </w:p>
    <w:p>
      <w:pPr>
        <w:pStyle w:val="Heading2"/>
      </w:pPr>
      <w:r>
        <w:t>VII. Vinculación con la Agenda Legislativa y el Plan Perú 2050</w:t>
      </w:r>
    </w:p>
    <w:p>
      <w:r>
        <w:t>Comisiones temáticas del Plan Perú 2050: Inteligencia Artificial, Ciencia y Tecnología, Perú en La Era Digital. ODS: 9, 16.</w:t>
      </w:r>
    </w:p>
    <w:p>
      <w:pPr>
        <w:pStyle w:val="Heading2"/>
      </w:pPr>
      <w:r>
        <w:t>VIII. Referencias</w:t>
      </w:r>
    </w:p>
    <w:p>
      <w:pPr>
        <w:pStyle w:val="ListBullet"/>
      </w:pPr>
      <w:r>
        <w:t>Ley 29733, Ley de Protección de Datos Personales — https://www.leyes.congreso.gob.pe/Documentos/Leyes/29733.pdf</w:t>
      </w:r>
    </w:p>
    <w:p>
      <w:pPr>
        <w:pStyle w:val="ListBullet"/>
      </w:pPr>
      <w:r>
        <w:t>Decreto Supremo 016-2024-JUS, Reglamento de la Ley 29733 — https://www3.congreso.gob.pe/Docs/DGP/DIDP/files/ds_016-2024-jus.pdf</w:t>
      </w:r>
    </w:p>
    <w:p>
      <w:pPr>
        <w:pStyle w:val="ListBullet"/>
      </w:pPr>
      <w:r>
        <w:t>Decreto Legislativo 604, Ley de Organización y Funciones del INEI — https://www.leyes.congreso.gob.pe/Documentos/DecretosLegislativos/00604.pdf</w:t>
      </w:r>
    </w:p>
    <w:p>
      <w:pPr>
        <w:pStyle w:val="ListBullet"/>
      </w:pPr>
      <w:r>
        <w:t>Decreto Legislativo 1412, Ley de Gobierno Digital — https://busquedas.elperuano.pe/dispositivo/NL/1691026-1</w:t>
      </w:r>
    </w:p>
    <w:p>
      <w:pPr>
        <w:pStyle w:val="ListBullet"/>
      </w:pPr>
      <w:r>
        <w:t>Unión Europea: Reglamento (UE) 2022/868 de Gobernanza de Datos (reutilización de datos protegidos del sector público en entornos seguros) — https://eur-lex.europa.eu/eli/reg/2022/868/oj</w:t>
      </w:r>
    </w:p>
    <w:p>
      <w:pPr>
        <w:pStyle w:val="ListBullet"/>
      </w:pPr>
      <w:r>
        <w:t>Estados Unidos: NIST SP 800-188, De-Identifying Government Datasets — https://csrc.nist.gov/pubs/sp/800/188/final</w:t>
      </w:r>
    </w:p>
    <w:p>
      <w:pPr>
        <w:pStyle w:val="ListBullet"/>
      </w:pPr>
      <w:r>
        <w:t>Reino Unido: ICO, guía sobre anonimización — https://ico.org.uk/for-organisations/uk-gdpr-guidance-and-resources/data-sharing/anonymisation/</w:t>
      </w:r>
    </w:p>
    <w:p>
      <w:pPr>
        <w:pStyle w:val="ListBullet"/>
      </w:pPr>
      <w:r>
        <w:t>Decreto Supremo 016-2024-JUS, Reglamento de la Ley 29733 (art. 41) — https://www3.congreso.gob.pe/Docs/DGP/DIDP/files/ds_016-2024-jus.pdf</w:t>
      </w:r>
    </w:p>
    <w:p>
      <w:pPr>
        <w:pStyle w:val="ListBullet"/>
      </w:pPr>
      <w:r>
        <w:t>NIST SP 800-188 — https://csrc.nist.gov/pubs/sp/800/188/final</w:t>
      </w:r>
    </w:p>
    <w:p>
      <w:pPr>
        <w:pStyle w:val="ListBullet"/>
      </w:pPr>
      <w:r>
        <w:t>Plan Perú 2050 (CNPP/CIP), dashboard de comisiones temáticas — https://planperu2050.pe</w:t>
      </w:r>
    </w:p>
    <w:p>
      <w:r>
        <w:t>Fuente: Agenda Legislativa Tech Perú 2026–2031 (https://unimauro.github.io/agenda-legislativa-tech/p/IA-10.html),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los datos sintéticos, los entornos seguros de acceso a datos públicos y la reidentificación para la investigación y la inteligencia artificial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