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pPr>
      <w:r>
        <w:rPr>
          <w:rFonts w:ascii="Georgia" w:cs="Georgia" w:eastAsia="Georgia" w:hAnsi="Georgia"/>
          <w:b/>
          <w:bCs/>
          <w:color w:val="1E2A4A"/>
          <w:sz w:val="60"/>
          <w:szCs w:val="60"/>
        </w:rPr>
        <w:t xml:space="preserve">El libro y la lectura en el Perú</w:t>
      </w:r>
    </w:p>
    <w:p>
      <w:pPr>
        <w:pBdr>
          <w:bottom w:val="single" w:color="B7862B" w:sz="12" w:space="12"/>
        </w:pBdr>
        <w:spacing w:after="600"/>
      </w:pPr>
      <w:r>
        <w:rPr>
          <w:rFonts w:ascii="Georgia" w:cs="Georgia" w:eastAsia="Georgia" w:hAnsi="Georgia"/>
          <w:color w:val="5F6675"/>
          <w:sz w:val="30"/>
          <w:szCs w:val="30"/>
        </w:rPr>
        <w:t xml:space="preserve">Diagnóstico del mercado y recomendaciones de política pública e innovación por actor</w:t>
      </w:r>
    </w:p>
    <w:p>
      <w:r>
        <w:rPr>
          <w:sz w:val="24"/>
          <w:szCs w:val="24"/>
        </w:rPr>
        <w:t xml:space="preserve">Octubre de 2026</w:t>
      </w:r>
    </w:p>
    <w:p>
      <w:pPr>
        <w:spacing w:before="200"/>
      </w:pPr>
      <w:r>
        <w:rPr>
          <w:color w:val="5F6675"/>
          <w:sz w:val="20"/>
          <w:szCs w:val="20"/>
        </w:rPr>
        <w:t xml:space="preserve">Documento de trabajo. Cifras con fuente; vacíos declarados. Versión web y datos en el repositorio del estudio.</w:t>
      </w:r>
    </w:p>
    <w:p>
      <w:r>
        <w:br w:type="page"/>
      </w:r>
    </w:p>
    <w:p>
      <w:pPr>
        <w:pStyle w:val="Heading1"/>
      </w:pPr>
      <w:r>
        <w:t xml:space="preserve">Contenido</w:t>
      </w:r>
    </w:p>
    <w:sdt>
      <w:sdtPr>
        <w:alias w:val="Contenido"/>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1. Resumen ejecutivo</w:t>
      </w:r>
    </w:p>
    <w:p>
      <w:pPr>
        <w:spacing w:after="160"/>
      </w:pPr>
      <w:r>
        <w:t xml:space="preserve">Este documento resume la evidencia pública disponible al 6 de octubre de 2026 sobre hábitos de lectura, mercado editorial y políticas del libro en el Perú, y propone medidas para el Estado, la industria y los creadores. Cada cifra indica su fuente. Donde no hubo dato verificable, se deja constancia del vacío y no se estima.</w:t>
      </w:r>
    </w:p>
    <w:p>
      <w:pPr>
        <w:pStyle w:val="Heading2"/>
      </w:pPr>
      <w:r>
        <w:t xml:space="preserve">Hallazgos principales</w:t>
      </w:r>
    </w:p>
    <w:p>
      <w:pPr>
        <w:pStyle w:val="ListParagraph"/>
        <w:numPr>
          <w:ilvl w:val="0"/>
          <w:numId w:val="2"/>
        </w:numPr>
        <w:spacing w:after="80"/>
      </w:pPr>
      <w:r>
        <w:t xml:space="preserve">Se lee mucho, pero poco en libros. El 82,7 % de la población alfabeta de 18 a 64 años leyó contenidos digitales el mes anterior y el 47,3 % leyó al menos un libro en el año. El promedio es de 1,9 libros por persona al año y de 4,0 entre quienes leen libros (ENL 2022; Mincul, ENL 2022).</w:t>
      </w:r>
    </w:p>
    <w:p>
      <w:pPr>
        <w:pStyle w:val="ListParagraph"/>
        <w:numPr>
          <w:ilvl w:val="0"/>
          <w:numId w:val="2"/>
        </w:numPr>
        <w:spacing w:after="80"/>
      </w:pPr>
      <w:r>
        <w:t xml:space="preserve">La brecha es territorial y educativa. Leyó libros el 50,3 % de la población urbana frente al 29,8 % de la rural, y el 75,0 % de quienes tienen educación universitaria (ENL 2022).</w:t>
      </w:r>
    </w:p>
    <w:p>
      <w:pPr>
        <w:pStyle w:val="ListParagraph"/>
        <w:numPr>
          <w:ilvl w:val="0"/>
          <w:numId w:val="2"/>
        </w:numPr>
        <w:spacing w:after="80"/>
      </w:pPr>
      <w:r>
        <w:t xml:space="preserve">La barrera declarada es el tiempo, no el precio. El 68,3 % de quienes no leen libros lo atribuye a falta de tiempo; la falta de dinero aparece en 8,6 % de las razones de no lectura general (ENL 2022).</w:t>
      </w:r>
    </w:p>
    <w:p>
      <w:pPr>
        <w:pStyle w:val="ListParagraph"/>
        <w:numPr>
          <w:ilvl w:val="0"/>
          <w:numId w:val="2"/>
        </w:numPr>
        <w:spacing w:after="80"/>
      </w:pPr>
      <w:r>
        <w:t xml:space="preserve">La oferta editorial se recupera, el volumen impreso no. En 2024 se asignaron 8.893 ISBN (9,0 % más que en 2019), pero los ejemplares declarados (14,7 millones) siguen 27,1 % por debajo de 2019 (Cerlalc 2026). Cálculo propio sobre datos de la fuente.</w:t>
      </w:r>
    </w:p>
    <w:p>
      <w:pPr>
        <w:pStyle w:val="ListParagraph"/>
        <w:numPr>
          <w:ilvl w:val="0"/>
          <w:numId w:val="2"/>
        </w:numPr>
        <w:spacing w:after="80"/>
      </w:pPr>
      <w:r>
        <w:t xml:space="preserve">El canal informal compite directamente. El 27,8 % de quienes compraron libros lo hizo en ambulantes o puntos de libros fotocopiados; el 64,6 % en librerías físicas (ENL 2022).</w:t>
      </w:r>
    </w:p>
    <w:p>
      <w:pPr>
        <w:pStyle w:val="ListParagraph"/>
        <w:numPr>
          <w:ilvl w:val="0"/>
          <w:numId w:val="2"/>
        </w:numPr>
        <w:spacing w:after="80"/>
      </w:pPr>
      <w:r>
        <w:t xml:space="preserve">La escuela no tiene la infraestructura básica. Entre los escolares que no participaron en actividades de biblioteca escolar, el 59,4 % indicó que su colegio no tiene biblioteca y el 20,7 % que no funciona (ENL 2022). Solo el 32,8 % de estudiantes de 4.º de primaria alcanzó nivel satisfactorio en lectura en 2024 (Minedu, ENLA 2024).</w:t>
      </w:r>
    </w:p>
    <w:p>
      <w:pPr>
        <w:pStyle w:val="ListParagraph"/>
        <w:numPr>
          <w:ilvl w:val="0"/>
          <w:numId w:val="2"/>
        </w:numPr>
        <w:spacing w:after="80"/>
      </w:pPr>
      <w:r>
        <w:t xml:space="preserve">No hay evaluación de impacto del Plan Lector. No se puede afirmar que los planes lectores con lecturas livianas hayan funcionado o fallado; la evidencia peruana ubicada es local y metodológicamente débil (UCV 2014; UNJFSC 2024).</w:t>
      </w:r>
    </w:p>
    <w:p>
      <w:pPr>
        <w:pStyle w:val="Heading2"/>
      </w:pPr>
      <w:r>
        <w:t xml:space="preserve">Recomendaciones prioritarias</w:t>
      </w:r>
    </w:p>
    <w:p>
      <w:pPr>
        <w:pStyle w:val="ListParagraph"/>
        <w:numPr>
          <w:ilvl w:val="0"/>
          <w:numId w:val="2"/>
        </w:numPr>
        <w:spacing w:after="80"/>
      </w:pPr>
      <w:r>
        <w:t xml:space="preserve">Garantizar bibliotecas escolares funcionando antes de rediseñar el contenido del Plan Lector.</w:t>
      </w:r>
    </w:p>
    <w:p>
      <w:pPr>
        <w:pStyle w:val="ListParagraph"/>
        <w:numPr>
          <w:ilvl w:val="0"/>
          <w:numId w:val="2"/>
        </w:numPr>
        <w:spacing w:after="80"/>
      </w:pPr>
      <w:r>
        <w:t xml:space="preserve">Evaluar el Plan Lector con un diseño que permita atribuir resultados, usando la ENLA como medición.</w:t>
      </w:r>
    </w:p>
    <w:p>
      <w:pPr>
        <w:pStyle w:val="ListParagraph"/>
        <w:numPr>
          <w:ilvl w:val="0"/>
          <w:numId w:val="2"/>
        </w:numPr>
        <w:spacing w:after="80"/>
      </w:pPr>
      <w:r>
        <w:t xml:space="preserve">Aplicar la siguiente ENL según la periodicidad de la Ley 31053, con un módulo de uso del tiempo y de lectura en redes.</w:t>
      </w:r>
    </w:p>
    <w:p>
      <w:pPr>
        <w:pStyle w:val="ListParagraph"/>
        <w:numPr>
          <w:ilvl w:val="0"/>
          <w:numId w:val="2"/>
        </w:numPr>
        <w:spacing w:after="80"/>
      </w:pPr>
      <w:r>
        <w:t xml:space="preserve">Llevar ferias y bibliotecas a donde está la población: el 41,6 % no va a ferias porque no las conoce.</w:t>
      </w:r>
    </w:p>
    <w:p>
      <w:pPr>
        <w:pStyle w:val="ListParagraph"/>
        <w:numPr>
          <w:ilvl w:val="0"/>
          <w:numId w:val="2"/>
        </w:numPr>
        <w:spacing w:after="80"/>
      </w:pPr>
      <w:r>
        <w:t xml:space="preserve">Ofrecer libro legal accesible (ediciones económicas, digital, impresión bajo demanda) para competir con la fotocopia, en paralelo a la fiscalización.</w:t>
      </w:r>
    </w:p>
    <w:p>
      <w:pPr>
        <w:pStyle w:val="Heading1"/>
      </w:pPr>
      <w:r>
        <w:t xml:space="preserve">2. Alcance y método</w:t>
      </w:r>
    </w:p>
    <w:p>
      <w:pPr>
        <w:spacing w:after="160"/>
      </w:pPr>
      <w:r>
        <w:t xml:space="preserve">Ámbito nacional, con desagregación urbano-rural, por región natural y por departamento cuando la fuente lo permite. Periodo de referencia 2019-2026; cada cifra indica su año.</w:t>
      </w:r>
    </w:p>
    <w:p>
      <w:pPr>
        <w:spacing w:after="160"/>
      </w:pPr>
      <w:r>
        <w:t xml:space="preserve">Fuentes priorizadas en este orden: estadística oficial (INEI, Mincul, Minedu, BNP), organismos internacionales con datos de agencias ISBN (Cerlalc), análisis académico, y declaraciones gremiales reportadas por prensa. Estas últimas se marcan como tales porque no son estadística auditada.</w:t>
      </w:r>
    </w:p>
    <w:p>
      <w:pPr>
        <w:spacing w:after="160"/>
      </w:pPr>
      <w:r>
        <w:t xml:space="preserve">Limitaciones: la ENL 2022 tiene un margen de error de 3 a 5 puntos con 95 % de confianza (ENL 2022). No se encontró una ENL posterior publicada. Las estimaciones de tamaño de mercado disponibles son de 2017 y 2019. Las recomendaciones de negocio son propuestas del estudio, formuladas como hipótesis a validar con pilotos.</w:t>
      </w:r>
    </w:p>
    <w:p>
      <w:pPr>
        <w:pStyle w:val="Heading1"/>
      </w:pPr>
      <w:r>
        <w:t xml:space="preserve">3. Diagnóstico</w:t>
      </w:r>
    </w:p>
    <w:p>
      <w:pPr>
        <w:pStyle w:val="Heading2"/>
      </w:pPr>
      <w:r>
        <w:t xml:space="preserve">3.1 Hábitos de lectura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200"/>
        <w:gridCol w:w="1600"/>
        <w:gridCol w:w="2226"/>
      </w:tblGrid>
      <w:tr>
        <w:trPr>
          <w:tblHeader/>
        </w:trPr>
        <w:tc>
          <w:tcPr>
            <w:tcW w:type="dxa" w:w="52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Indicador</w:t>
            </w:r>
          </w:p>
        </w:tc>
        <w:tc>
          <w:tcPr>
            <w:tcW w:type="dxa" w:w="16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Valor</w:t>
            </w:r>
          </w:p>
        </w:tc>
        <w:tc>
          <w:tcPr>
            <w:tcW w:type="dxa" w:w="22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Fuente</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Leyó contenidos digitales (mes anterior)</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82,7 %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Leyó periódicos (mes anterior)</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63,4 %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Leyó al menos un libro (12 meses)</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47,3 %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Leyó revistas (mes anterior)</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22,5 %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Lector frecuente de libros (al menos semanal)</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38,3 %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No lector de libros</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54,2 %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Promedio de libros al año, toda la población alfabeta 18-64</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1,9</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Mincul, 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Promedio de libros al año, lectores de libros</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4,0 (urbano 4,1; rural 2,5)</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5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Hogares sin libros / con 1 a 10 libros</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4,8 % / 42,7 %</w:t>
            </w:r>
          </w:p>
        </w:tc>
        <w:tc>
          <w:tcPr>
            <w:tcW w:type="dxa" w:w="22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bl>
    <w:p>
      <w:pPr>
        <w:spacing w:after="120"/>
      </w:pPr>
    </w:p>
    <w:p>
      <w:pPr>
        <w:spacing w:after="160"/>
      </w:pPr>
      <w:r>
        <w:t xml:space="preserve">La lectura de libros es mayor en mujeres (51,5 %) que en hombres (43,2 %) y en jóvenes de 18 a 29 años (58,9 %). El estrato socioeconómico alto alcanza 68,2 % (ENL 2022). La ENL mide frecuencia, no minutos diarios: no existe dato oficial de tiempo de lectura.</w:t>
      </w:r>
    </w:p>
    <w:p>
      <w:pPr>
        <w:pStyle w:val="Heading2"/>
      </w:pPr>
      <w:r>
        <w:t xml:space="preserve">3.2 Preferencias de lectura</w:t>
      </w:r>
    </w:p>
    <w:p>
      <w:pPr>
        <w:spacing w:after="160"/>
      </w:pPr>
      <w:r>
        <w:t xml:space="preserve">El 36,3 % leyó principalmente literatura (novela, cuento, poesía, historieta) y el 31,1 % textos escolares o universitarios. Las mujeres leen libros infantiles en mayor proporción (28,2 % frente a 11,9 %), asociado a que el 34,1 % de ellas lee para apoyar el estudio o entretenimiento de sus hijos (ENL 2022).</w:t>
      </w:r>
    </w:p>
    <w:p>
      <w:pPr>
        <w:spacing w:after="160"/>
      </w:pPr>
      <w:r>
        <w:t xml:space="preserve">El libro se elige por el tema (68,5 %), por el título (23,8 %) o por recomendación de un amigo o familiar (23,3 %). La principal razón para leer libros es el placer (44,8 %), seguida del estudio personal (33,3 %). Del total de libros leídos, el 63,1 % fue impreso y el 36,9 % digital (ENL 2022).</w:t>
      </w:r>
    </w:p>
    <w:p>
      <w:pPr>
        <w:pStyle w:val="Heading2"/>
      </w:pPr>
      <w:r>
        <w:t xml:space="preserve">3.3 Costo y gasto</w:t>
      </w:r>
    </w:p>
    <w:p>
      <w:pPr>
        <w:spacing w:after="160"/>
      </w:pPr>
      <w:r>
        <w:t xml:space="preserve">El gasto promedio anual en libros de quienes los adquirieron fue de S/ 170: S/ 177 en zona urbana y S/ 96 en rural (ENL 2022). El gremio reportó en 2024 un rango de precios de S/ 15 a S/ 70 (Gestión 2024). El 50,0 % de la población consiguió libros en el año, pagados o gratuitos, y de ellos el 60,4 % los compró (ENL 2022).</w:t>
      </w:r>
    </w:p>
    <w:p>
      <w:pPr>
        <w:spacing w:after="160"/>
      </w:pPr>
      <w:r>
        <w:t xml:space="preserve">Libros y e-books están exonerados de IGV por la Ley 31893 y su reglamento (DS 058-2024-EF), que además dan reintegro de IGV a editoriales y exoneran del impuesto a la renta las regalías de autor desde 2024 (Ley 31893; DS 058-2024-EF). Según una fuente especializada, la Ley 32542 prorroga las exoneraciones de los Apéndices I y II del IGV hasta el 31 de diciembre de 2028 (Ley 32542). Esto debe verificarse en el texto oficial publicado en El Peruano antes de usarlo como vigente.</w:t>
      </w:r>
    </w:p>
    <w:p>
      <w:pPr>
        <w:pStyle w:val="Heading2"/>
      </w:pPr>
      <w:r>
        <w:t xml:space="preserve">3.4 Mercado y oferta editorial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1200"/>
        <w:gridCol w:w="1100"/>
        <w:gridCol w:w="1400"/>
        <w:gridCol w:w="1600"/>
        <w:gridCol w:w="1526"/>
      </w:tblGrid>
      <w:tr>
        <w:trPr>
          <w:tblHeader/>
        </w:trPr>
        <w:tc>
          <w:tcPr>
            <w:tcW w:type="dxa" w:w="9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Año</w:t>
            </w:r>
          </w:p>
        </w:tc>
        <w:tc>
          <w:tcPr>
            <w:tcW w:type="dxa" w:w="13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ISBN total</w:t>
            </w:r>
          </w:p>
        </w:tc>
        <w:tc>
          <w:tcPr>
            <w:tcW w:type="dxa" w:w="12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Impreso</w:t>
            </w:r>
          </w:p>
        </w:tc>
        <w:tc>
          <w:tcPr>
            <w:tcW w:type="dxa" w:w="11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Digital</w:t>
            </w:r>
          </w:p>
        </w:tc>
        <w:tc>
          <w:tcPr>
            <w:tcW w:type="dxa" w:w="14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Comerciales</w:t>
            </w:r>
          </w:p>
        </w:tc>
        <w:tc>
          <w:tcPr>
            <w:tcW w:type="dxa" w:w="16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Autores-editores</w:t>
            </w:r>
          </w:p>
        </w:tc>
        <w:tc>
          <w:tcPr>
            <w:tcW w:type="dxa" w:w="15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Ejemplares (M)</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2019</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8,157</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7,114</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1,043</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4,538</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958</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2020</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5,698</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3,389</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2,309</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2,753</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925</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5,3</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2021</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7,885</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5,181</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2,704</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3,435</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1,506</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6,2</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2022</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8,310</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6,462</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1,848</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4,075</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1,045</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11,0</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2023</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8,317</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6,853</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1,464</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4,133</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1,091</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13,0</w:t>
            </w:r>
          </w:p>
        </w:tc>
      </w:tr>
      <w:tr>
        <w:tc>
          <w:tcPr>
            <w:tcW w:type="dxa" w:w="9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2024</w:t>
            </w:r>
          </w:p>
        </w:tc>
        <w:tc>
          <w:tcPr>
            <w:tcW w:type="dxa" w:w="1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8,893</w:t>
            </w:r>
          </w:p>
        </w:tc>
        <w:tc>
          <w:tcPr>
            <w:tcW w:type="dxa" w:w="1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7,163</w:t>
            </w:r>
          </w:p>
        </w:tc>
        <w:tc>
          <w:tcPr>
            <w:tcW w:type="dxa" w:w="11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1,730</w:t>
            </w:r>
          </w:p>
        </w:tc>
        <w:tc>
          <w:tcPr>
            <w:tcW w:type="dxa" w:w="14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4,304</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1,276</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14,7</w:t>
            </w:r>
          </w:p>
        </w:tc>
      </w:tr>
    </w:tbl>
    <w:p>
      <w:pPr>
        <w:spacing w:after="120"/>
      </w:pPr>
    </w:p>
    <w:p>
      <w:pPr>
        <w:spacing w:after="160"/>
      </w:pPr>
      <w:r>
        <w:rPr>
          <w:i/>
          <w:iCs/>
          <w:color w:val="5F6675"/>
          <w:sz w:val="20"/>
          <w:szCs w:val="20"/>
        </w:rPr>
        <w:t xml:space="preserve">Fuente: Cerlalc 2026, con datos de la Agencia Peruana del ISBN. Los ejemplares de 2019 incluyen grandes tirajes educativos.</w:t>
      </w:r>
    </w:p>
    <w:p>
      <w:pPr>
        <w:spacing w:after="160"/>
      </w:pPr>
      <w:r>
        <w:t xml:space="preserve">En 2024, el Perú registró 2,6 ISBN por cada 10.000 habitantes, frente a 4,1 de Colombia, 4,6 de Chile y 6,8 de Argentina (Cerlalc 2026). En 2024 los títulos digitales fueron el 19,5 % del total; las editoriales comerciales el 48,4 % y los autores-editores el 14,3 %. Cálculos propios sobre datos de Cerlalc.</w:t>
      </w:r>
    </w:p>
    <w:p>
      <w:pPr>
        <w:spacing w:after="160"/>
      </w:pPr>
      <w:r>
        <w:t xml:space="preserve">Sobre el tamaño del mercado solo hay estimaciones gremiales: cerca de S/ 890 millones en 2017, incluyendo importaciones (Andina 2018), y cerca de S/ 700 millones en 2019 (Andina 2019). No son comparables entre sí ni hay cifra pública reciente. En 2024 el gremio señaló que la venta online representaba el 15 % de la facturación de las librerías y que las imprentas operaban cerca del 50 % de su capacidad instalada (Gestión 2024). A inicios de 2025, asociados de la Cámara Peruana del Libro reportaron caídas de facturación de 2 % a 6 % (Gestión 2025).</w:t>
      </w:r>
    </w:p>
    <w:p>
      <w:pPr>
        <w:spacing w:after="160"/>
      </w:pPr>
      <w:r>
        <w:t xml:space="preserve">La FIL Lima es el principal termómetro comercial: vendió S/ 17,7 millones en 2022 y S/ 18,5 millones en 2023 (Gestión 2024); en 2025 superó los 540 mil asistentes (Caretas 2025) y en 2026, en su nueva sede, superó los 400 mil visitantes y los S/ 18 millones en transacciones (El Peruano 2026).</w:t>
      </w:r>
    </w:p>
    <w:p>
      <w:pPr>
        <w:pStyle w:val="Heading2"/>
      </w:pPr>
      <w:r>
        <w:t xml:space="preserve">3.5 Competidores y sustitutos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5000"/>
        <w:gridCol w:w="1826"/>
      </w:tblGrid>
      <w:tr>
        <w:trPr>
          <w:tblHeader/>
        </w:trPr>
        <w:tc>
          <w:tcPr>
            <w:tcW w:type="dxa" w:w="22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Segmento</w:t>
            </w:r>
          </w:p>
        </w:tc>
        <w:tc>
          <w:tcPr>
            <w:tcW w:type="dxa" w:w="50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Actores y evidencia</w:t>
            </w:r>
          </w:p>
        </w:tc>
        <w:tc>
          <w:tcPr>
            <w:tcW w:type="dxa" w:w="18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Fuente</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Cadenas de librerías</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Crisol, Ibero Librerías, SBS (técnico/idiomas), El Virrey y otras</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Gestión</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Venta online y marketplaces</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Buscalibre, Amazon, marketplaces de retail</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Gestión</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Grupos editoriales multinacionales</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Filiales peruanas de grupos globales, como Editorial Planeta</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Gestión 2025</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Editoriales independientes y mype</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90 % del sector; foco en autores nacionales</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Andina 2018</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Autoedición</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1.276 ISBN de autores-editores en 2024 (14,3 % del total)</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Cerlalc 2026</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Mercado informal / fotocopias</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27,8 % de compradores adquirió en ambulantes o puntos de fotocopias</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Sustitutos por atención</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Redes sociales y mensajería: 28,3 M de identidades en redes (81,6 %)</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DataReportal 2026</w:t>
            </w:r>
          </w:p>
        </w:tc>
      </w:tr>
      <w:tr>
        <w:tc>
          <w:tcPr>
            <w:tcW w:type="dxa" w:w="22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Estado como editor y comprador</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BNP publicó 22 títulos y 39.000 ejemplares en 2025; compras públicas previstas en Ley 31053</w:t>
            </w:r>
          </w:p>
        </w:tc>
        <w:tc>
          <w:tcPr>
            <w:tcW w:type="dxa" w:w="18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BNP 2025</w:t>
            </w:r>
          </w:p>
        </w:tc>
      </w:tr>
    </w:tbl>
    <w:p>
      <w:pPr>
        <w:spacing w:after="120"/>
      </w:pPr>
    </w:p>
    <w:p>
      <w:pPr>
        <w:spacing w:after="160"/>
      </w:pPr>
      <w:r>
        <w:t xml:space="preserve">No existen cuotas de mercado públicas por editorial o librería. El análisis competitivo es, por tanto, cualitativo.</w:t>
      </w:r>
    </w:p>
    <w:p>
      <w:pPr>
        <w:pStyle w:val="Heading2"/>
      </w:pPr>
      <w:r>
        <w:t xml:space="preserve">3.6 Escuela y Plan Lector</w:t>
      </w:r>
    </w:p>
    <w:p>
      <w:pPr>
        <w:spacing w:after="160"/>
      </w:pPr>
      <w:r>
        <w:t xml:space="preserve">El 78,7 % de menores de 0 a 17 años leyó o le leyeron libros en el año, pero solo el 34,5 % de escolares de 3 a 17 años participó en actividades de biblioteca escolar. Entre quienes no participaron, el 59,4 % indicó que no hay biblioteca en su colegio y el 20,7 % que no funciona. El 14,8 % de 6 a 17 años participa en clubes de lectura (ENL 2022).</w:t>
      </w:r>
    </w:p>
    <w:p>
      <w:pPr>
        <w:spacing w:after="160"/>
      </w:pPr>
      <w:r>
        <w:t xml:space="preserve">Resultados de aprendizaje: 32,8 % de 4.º de primaria y 24,9 % de 6.º de primaria en nivel satisfactorio en 2024 (Minedu, ENLA 2024; ENLA 2024); 11,3 % de 5.º de secundaria en 2025. Los resultados de 4.º de primaria se mantuvieron estables en 2025, con mejoras en zona rural (Minedu, ENLA 2025). Loreto tuvo el resultado más bajo en 4.º de primaria en 2024, con 12,8 % (Minedu, ENLA 2024).</w:t>
      </w:r>
    </w:p>
    <w:p>
      <w:pPr>
        <w:spacing w:after="160"/>
      </w:pPr>
      <w:r>
        <w:t xml:space="preserve">Sobre la pregunta de si los planes lectores con lecturas livianas ayudaron: no se encontró evaluación de impacto nacional. Los estudios peruanos ubicados son tesis locales. Una usó pre-test y post-test sin grupo de control con 20 niños (UCV 2014); otra es descriptiva y no experimental (UNJFSC 2024). Ambas reportan resultados positivos, pero su diseño no permite atribuir causalidad. Tampoco se encontró evidencia peruana que compare lecturas livianas con lecturas exigentes. La conclusión honesta es que no se sabe, y que la falta de bibliotecas escolares es una restricción previa más evidente.</w:t>
      </w:r>
    </w:p>
    <w:p>
      <w:pPr>
        <w:pStyle w:val="Heading2"/>
      </w:pPr>
      <w:r>
        <w:t xml:space="preserve">3.7 Competencia de las redes sociales</w:t>
      </w:r>
    </w:p>
    <w:p>
      <w:pPr>
        <w:spacing w:after="160"/>
      </w:pPr>
      <w:r>
        <w:t xml:space="preserve">El 74,3 % lee mensajes de WhatsApp y el 71,3 % textos en Facebook; el 62,4 % lee WhatsApp varias veces al día (ENL 2022). En octubre de 2025 había 28,3 millones de identidades en redes sociales en el Perú, equivalentes al 81,6 % de la población (DataReportal 2026). No se obtuvo una cifra verificable de minutos diarios en redes para Perú.</w:t>
      </w:r>
    </w:p>
    <w:p>
      <w:pPr>
        <w:spacing w:after="160"/>
      </w:pPr>
      <w:r>
        <w:t xml:space="preserve">Lectura del estudio: la competencia es por tiempo y atención. La misma población que declara no tener tiempo para libros lee mensajería varias veces al día. Al mismo tiempo, la recomendación entre pares (23,3 %) y el hábito de comentar lo leído (82,4 % de lectores) (ENL 2022) hacen de las redes un canal de difusión aprovechable.</w:t>
      </w:r>
    </w:p>
    <w:p>
      <w:pPr>
        <w:pStyle w:val="Heading2"/>
      </w:pPr>
      <w:r>
        <w:t xml:space="preserve">3.8 Regiones</w:t>
      </w:r>
    </w:p>
    <w:p>
      <w:pPr>
        <w:spacing w:after="160"/>
      </w:pPr>
      <w:r>
        <w:t xml:space="preserve">La lectura general es de 93,6 % en la costa, 90,5 % en la sierra y 89,4 % en la selva (ENL 2022). Fuera de Lima, Arequipa, Junín, Puno y La Libertad concentraron el 51,3 % de los títulos registrados en 2019 (BNP 2019). Es un dato antiguo, útil como referencia estructural. El IEP señala que el mercado del libro sigue muy concentrado en Lima y que las ventas significativas se reducen a pocos distritos (IEP 2025). Los 24 informes departamentales de la ENL 2022 permitirían un ranking por departamento; no se incorporaron en esta versión.</w:t>
      </w:r>
    </w:p>
    <w:p>
      <w:pPr>
        <w:pStyle w:val="Heading2"/>
      </w:pPr>
      <w:r>
        <w:t xml:space="preserve">3.9 Marco normativo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5000"/>
        <w:gridCol w:w="1726"/>
      </w:tblGrid>
      <w:tr>
        <w:trPr>
          <w:tblHeader/>
        </w:trPr>
        <w:tc>
          <w:tcPr>
            <w:tcW w:type="dxa" w:w="23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Norma</w:t>
            </w:r>
          </w:p>
        </w:tc>
        <w:tc>
          <w:tcPr>
            <w:tcW w:type="dxa" w:w="50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Contenido</w:t>
            </w:r>
          </w:p>
        </w:tc>
        <w:tc>
          <w:tcPr>
            <w:tcW w:type="dxa" w:w="17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Fuente</w:t>
            </w:r>
          </w:p>
        </w:tc>
      </w:tr>
      <w:tr>
        <w:tc>
          <w:tcPr>
            <w:tcW w:type="dxa" w:w="2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31053 (2020)</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Reconoce el derecho a la lectura; crea Fondolibro; ENL cada tres años.</w:t>
            </w:r>
          </w:p>
        </w:tc>
        <w:tc>
          <w:tcPr>
            <w:tcW w:type="dxa" w:w="17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2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DS 007-2022-MC</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Política Nacional de la Lectura, el Libro y las Bibliotecas al 2030 (PNLLB).</w:t>
            </w:r>
          </w:p>
        </w:tc>
        <w:tc>
          <w:tcPr>
            <w:tcW w:type="dxa" w:w="17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2022</w:t>
            </w:r>
          </w:p>
        </w:tc>
      </w:tr>
      <w:tr>
        <w:tc>
          <w:tcPr>
            <w:tcW w:type="dxa" w:w="2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31893 (oct-2023) y DS 058-2024-EF</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Exoneración de IGV a libros (incluye e-books), reintegro de IGV a editoriales, exoneración de IR a regalías de autor desde 2024.</w:t>
            </w:r>
          </w:p>
        </w:tc>
        <w:tc>
          <w:tcPr>
            <w:tcW w:type="dxa" w:w="17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31893</w:t>
            </w:r>
          </w:p>
        </w:tc>
      </w:tr>
      <w:tr>
        <w:tc>
          <w:tcPr>
            <w:tcW w:type="dxa" w:w="23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32542</w:t>
            </w:r>
          </w:p>
        </w:tc>
        <w:tc>
          <w:tcPr>
            <w:tcW w:type="dxa" w:w="5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Prórroga de exoneraciones de los Apéndices I y II del IGV hasta el 31/12/2028 (verificar alcance para libros).</w:t>
            </w:r>
          </w:p>
        </w:tc>
        <w:tc>
          <w:tcPr>
            <w:tcW w:type="dxa" w:w="17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32542</w:t>
            </w:r>
          </w:p>
        </w:tc>
      </w:tr>
    </w:tbl>
    <w:p>
      <w:pPr>
        <w:spacing w:after="120"/>
      </w:pPr>
    </w:p>
    <w:p>
      <w:pPr>
        <w:pStyle w:val="Heading1"/>
      </w:pPr>
      <w:r>
        <w:t xml:space="preserve">4. Recomendaciones de política pública</w:t>
      </w:r>
    </w:p>
    <w:p>
      <w:pPr>
        <w:spacing w:after="160"/>
      </w:pPr>
      <w:r>
        <w:t xml:space="preserve">Cada medida se vincula con el problema que atiende y la evidencia que la sustenta. Responsables y horizontes son propuestas del estudio.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500"/>
        <w:gridCol w:w="3000"/>
        <w:gridCol w:w="1600"/>
        <w:gridCol w:w="1926"/>
      </w:tblGrid>
      <w:tr>
        <w:trPr>
          <w:tblHeader/>
        </w:trPr>
        <w:tc>
          <w:tcPr>
            <w:tcW w:type="dxa" w:w="25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Medida</w:t>
            </w:r>
          </w:p>
        </w:tc>
        <w:tc>
          <w:tcPr>
            <w:tcW w:type="dxa" w:w="30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Problema y evidencia</w:t>
            </w:r>
          </w:p>
        </w:tc>
        <w:tc>
          <w:tcPr>
            <w:tcW w:type="dxa" w:w="16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Responsable</w:t>
            </w:r>
          </w:p>
        </w:tc>
        <w:tc>
          <w:tcPr>
            <w:tcW w:type="dxa" w:w="19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Indicador</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Biblioteca escolar operativa en cada institución educativa, con dotación y responsable</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59,4 % de quienes no usan biblioteca escolar dice que no existe; 20,7 % que no funciona (ENL 2022)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Minedu, DRE, UGEL, gobiernos regionales</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de IE con biblioteca operativa; participación en biblioteca escolar (línea base 34,5 %)</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Evaluación de impacto del Plan Lector</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Sin evaluación nacional; estudios locales sin grupo de control</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Minedu (UMC) con Mincul</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Estudio publicado con grupo de comparación; preguntas de plan lector en cuestionarios de la ENLA</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Siguiente ENL con módulo de uso del tiempo y lectura en redes, con microdatos abiertos</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31053 fija periodicidad trienal; no se halló ENL posterior a 2022; no hay dato de minutos de lectura</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Mincul e INEI</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publicada; microdatos en datos abiertos</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Ferias y bibliotecas itinerantes focalizadas en zona rural y Amazonía</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41,6 % no conoce ferias; 38,7 % no tiene biblioteca cerca; ferias rurales 4,1 % (ENL 2022)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Mincul (DLL), BNP, municipalidades</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Asistencia a ferias (línea base 14,0 %) y a bibliotecas (6,5 %)</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Compras públicas de libros a editoriales nacionales y regionales, con catálogo transparente y títulos en lenguas originarias</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Ley 31053 contempla compras públicas; 15,3 % aprendió a hablar en lengua nativa (ENL 2022)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Mincul, BNP, Minedu</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Títulos y ejemplares adquiridos por región y lengua</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Estrategia contra la fotocopia que combine fiscalización y oferta legal accesible</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27,8 % compra en ambulantes o fotocopias (ENL 2022)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Indecopi, CPL, Mincul</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Participación del canal informal en la próxima ENL</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Transparencia y evaluación de los beneficios tributarios antes de su vencimiento</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Exoneraciones vigentes; prórroga a 2028 por verificar (Ley 32542)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MEF, Sunat, Mincul</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Reporte anual de beneficiarios y costo fiscal</w:t>
            </w:r>
          </w:p>
        </w:tc>
      </w:tr>
      <w:tr>
        <w:tc>
          <w:tcPr>
            <w:tcW w:type="dxa" w:w="25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Bibliotecas digitales y alfabetización digital crítica</w:t>
            </w:r>
          </w:p>
        </w:tc>
        <w:tc>
          <w:tcPr>
            <w:tcW w:type="dxa" w:w="3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36,9 % de los libros leídos ya es digital; uso de bibliotecas digitales 12,0 % (ENL 2022)</w:t>
            </w:r>
          </w:p>
        </w:tc>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BNP, Minedu</w:t>
            </w:r>
          </w:p>
        </w:tc>
        <w:tc>
          <w:tcPr>
            <w:tcW w:type="dxa" w:w="19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Usuarios activos de bibliotecas digitales públicas</w:t>
            </w:r>
          </w:p>
        </w:tc>
      </w:tr>
    </w:tbl>
    <w:p>
      <w:pPr>
        <w:spacing w:after="120"/>
      </w:pPr>
    </w:p>
    <w:p>
      <w:pPr>
        <w:pStyle w:val="Heading1"/>
      </w:pPr>
      <w:r>
        <w:t xml:space="preserve">5. Estrategias de innovación por actor</w:t>
      </w:r>
    </w:p>
    <w:p>
      <w:pPr>
        <w:spacing w:after="160"/>
      </w:pPr>
      <w:r>
        <w:rPr>
          <w:i/>
          <w:iCs/>
          <w:color w:val="5F6675"/>
          <w:sz w:val="20"/>
          <w:szCs w:val="20"/>
        </w:rPr>
        <w:t xml:space="preserve">Las estrategias de esta sección son propuestas del estudio, formuladas como hipótesis. Se recomienda validarlas con pilotos pequeños y medibles antes de escalar.</w:t>
      </w:r>
    </w:p>
    <w:p>
      <w:pPr>
        <w:pStyle w:val="Heading2"/>
      </w:pPr>
      <w:r>
        <w:t xml:space="preserve">5.1 Editoriales</w:t>
      </w:r>
    </w:p>
    <w:p>
      <w:pPr>
        <w:pStyle w:val="ListParagraph"/>
        <w:numPr>
          <w:ilvl w:val="0"/>
          <w:numId w:val="2"/>
        </w:numPr>
        <w:spacing w:after="80"/>
      </w:pPr>
      <w:r>
        <w:t xml:space="preserve">Descubribilidad por tema. Como el 68,5 % elige por tema, conviene invertir en metadatos, categorías claras y catálogos temáticos en tiendas online y ferias.</w:t>
      </w:r>
    </w:p>
    <w:p>
      <w:pPr>
        <w:pStyle w:val="ListParagraph"/>
        <w:numPr>
          <w:ilvl w:val="0"/>
          <w:numId w:val="2"/>
        </w:numPr>
        <w:spacing w:after="80"/>
      </w:pPr>
      <w:r>
        <w:t xml:space="preserve">Ediciones económicas y de bolsillo de títulos de alta rotación para disputar el segmento que hoy compra fotocopias.</w:t>
      </w:r>
    </w:p>
    <w:p>
      <w:pPr>
        <w:pStyle w:val="ListParagraph"/>
        <w:numPr>
          <w:ilvl w:val="0"/>
          <w:numId w:val="2"/>
        </w:numPr>
        <w:spacing w:after="80"/>
      </w:pPr>
      <w:r>
        <w:t xml:space="preserve">Lanzamiento simultáneo impreso y digital: un tercio de los libros leídos es digital y los e-books están exonerados de IGV.</w:t>
      </w:r>
    </w:p>
    <w:p>
      <w:pPr>
        <w:pStyle w:val="ListParagraph"/>
        <w:numPr>
          <w:ilvl w:val="0"/>
          <w:numId w:val="2"/>
        </w:numPr>
        <w:spacing w:after="80"/>
      </w:pPr>
      <w:r>
        <w:t xml:space="preserve">Coediciones y presencia en ferias regionales con los nodos editoriales de Arequipa, Junín, Puno y La Libertad.</w:t>
      </w:r>
    </w:p>
    <w:p>
      <w:pPr>
        <w:pStyle w:val="ListParagraph"/>
        <w:numPr>
          <w:ilvl w:val="0"/>
          <w:numId w:val="2"/>
        </w:numPr>
        <w:spacing w:after="80"/>
      </w:pPr>
      <w:r>
        <w:t xml:space="preserve">Líneas infantiles y de apoyo escolar dirigidas a madres y cuidadores, el grupo que más lee para acompañar a hijos.</w:t>
      </w:r>
    </w:p>
    <w:p>
      <w:pPr>
        <w:pStyle w:val="Heading2"/>
      </w:pPr>
      <w:r>
        <w:t xml:space="preserve">5.2 Imprentas y empresas gráficas</w:t>
      </w:r>
    </w:p>
    <w:p>
      <w:pPr>
        <w:pStyle w:val="ListParagraph"/>
        <w:numPr>
          <w:ilvl w:val="0"/>
          <w:numId w:val="2"/>
        </w:numPr>
        <w:spacing w:after="80"/>
      </w:pPr>
      <w:r>
        <w:t xml:space="preserve">Impresión bajo demanda y tiradas cortas para autores-editores, segmento que creció 33 % en ISBN entre 2019 y 2024 (cálculo propio sobre Cerlalc), aprovechando capacidad ociosa declarada.</w:t>
      </w:r>
    </w:p>
    <w:p>
      <w:pPr>
        <w:pStyle w:val="ListParagraph"/>
        <w:numPr>
          <w:ilvl w:val="0"/>
          <w:numId w:val="2"/>
        </w:numPr>
        <w:spacing w:after="80"/>
      </w:pPr>
      <w:r>
        <w:t xml:space="preserve">Paquete integral para autores: diseño, corrección, trámite de ISBN y depósito legal (ya disponible en línea en la BNP), impresión y distribución.</w:t>
      </w:r>
    </w:p>
    <w:p>
      <w:pPr>
        <w:pStyle w:val="ListParagraph"/>
        <w:numPr>
          <w:ilvl w:val="0"/>
          <w:numId w:val="2"/>
        </w:numPr>
        <w:spacing w:after="80"/>
      </w:pPr>
      <w:r>
        <w:t xml:space="preserve">Servicios para compras públicas y bibliotecas regionales, con capacidad de producir en lenguas originarias.</w:t>
      </w:r>
    </w:p>
    <w:p>
      <w:pPr>
        <w:pStyle w:val="ListParagraph"/>
        <w:numPr>
          <w:ilvl w:val="0"/>
          <w:numId w:val="2"/>
        </w:numPr>
        <w:spacing w:after="80"/>
      </w:pPr>
      <w:r>
        <w:t xml:space="preserve">Exportación de servicios gráficos a mercados de la región con los que existen acuerdos comerciales.</w:t>
      </w:r>
    </w:p>
    <w:p>
      <w:pPr>
        <w:pStyle w:val="Heading2"/>
      </w:pPr>
      <w:r>
        <w:t xml:space="preserve">5.3 Librerías y vendedores</w:t>
      </w:r>
    </w:p>
    <w:p>
      <w:pPr>
        <w:pStyle w:val="ListParagraph"/>
        <w:numPr>
          <w:ilvl w:val="0"/>
          <w:numId w:val="2"/>
        </w:numPr>
        <w:spacing w:after="80"/>
      </w:pPr>
      <w:r>
        <w:t xml:space="preserve">Omnicanalidad: la venta online ya era el 15 % de la facturación de librerías en 2024 (dato gremial). Integrar inventario, despacho a provincias y recojo en tienda.</w:t>
      </w:r>
    </w:p>
    <w:p>
      <w:pPr>
        <w:pStyle w:val="ListParagraph"/>
        <w:numPr>
          <w:ilvl w:val="0"/>
          <w:numId w:val="2"/>
        </w:numPr>
        <w:spacing w:after="80"/>
      </w:pPr>
      <w:r>
        <w:t xml:space="preserve">Puntos de venta en rutas cotidianas (centros comerciales, estaciones, mercados) para responder a la barrera de tiempo.</w:t>
      </w:r>
    </w:p>
    <w:p>
      <w:pPr>
        <w:pStyle w:val="ListParagraph"/>
        <w:numPr>
          <w:ilvl w:val="0"/>
          <w:numId w:val="2"/>
        </w:numPr>
        <w:spacing w:after="80"/>
      </w:pPr>
      <w:r>
        <w:t xml:space="preserve">Comunidad: clubes de lectura, presentaciones y alianzas con creadores de contenido lector, aprovechando que la recomendación entre pares pesa 23,3 %.</w:t>
      </w:r>
    </w:p>
    <w:p>
      <w:pPr>
        <w:pStyle w:val="ListParagraph"/>
        <w:numPr>
          <w:ilvl w:val="0"/>
          <w:numId w:val="2"/>
        </w:numPr>
        <w:spacing w:after="80"/>
      </w:pPr>
      <w:r>
        <w:t xml:space="preserve">Libro usado formal y canje como alternativa barata y legal a la fotocopia.</w:t>
      </w:r>
    </w:p>
    <w:p>
      <w:pPr>
        <w:pStyle w:val="ListParagraph"/>
        <w:numPr>
          <w:ilvl w:val="0"/>
          <w:numId w:val="2"/>
        </w:numPr>
        <w:spacing w:after="80"/>
      </w:pPr>
      <w:r>
        <w:t xml:space="preserve">Vendedores informales: ruta de formalización como distribuidores de ediciones económicas legales, con márgenes atractivos.</w:t>
      </w:r>
    </w:p>
    <w:p>
      <w:pPr>
        <w:pStyle w:val="Heading2"/>
      </w:pPr>
      <w:r>
        <w:t xml:space="preserve">5.4 Escritores</w:t>
      </w:r>
    </w:p>
    <w:p>
      <w:pPr>
        <w:pStyle w:val="ListParagraph"/>
        <w:numPr>
          <w:ilvl w:val="0"/>
          <w:numId w:val="2"/>
        </w:numPr>
        <w:spacing w:after="80"/>
      </w:pPr>
      <w:r>
        <w:t xml:space="preserve">Autoedición profesional: ISBN en línea, depósito legal y distribución en tiendas online para llegar fuera de Lima.</w:t>
      </w:r>
    </w:p>
    <w:p>
      <w:pPr>
        <w:pStyle w:val="ListParagraph"/>
        <w:numPr>
          <w:ilvl w:val="0"/>
          <w:numId w:val="2"/>
        </w:numPr>
        <w:spacing w:after="80"/>
      </w:pPr>
      <w:r>
        <w:t xml:space="preserve">Construcción de comunidad digital propia antes y después del lanzamiento.</w:t>
      </w:r>
    </w:p>
    <w:p>
      <w:pPr>
        <w:pStyle w:val="ListParagraph"/>
        <w:numPr>
          <w:ilvl w:val="0"/>
          <w:numId w:val="2"/>
        </w:numPr>
        <w:spacing w:after="80"/>
      </w:pPr>
      <w:r>
        <w:t xml:space="preserve">Circuito de ferias regionales y bibliotecas, no solo la FIL Lima.</w:t>
      </w:r>
    </w:p>
    <w:p>
      <w:pPr>
        <w:pStyle w:val="ListParagraph"/>
        <w:numPr>
          <w:ilvl w:val="0"/>
          <w:numId w:val="2"/>
        </w:numPr>
        <w:spacing w:after="80"/>
      </w:pPr>
      <w:r>
        <w:t xml:space="preserve">Revisar con un contador la exoneración del impuesto a la renta sobre regalías vigente desde 2024.</w:t>
      </w:r>
    </w:p>
    <w:p>
      <w:pPr>
        <w:pStyle w:val="Heading2"/>
      </w:pPr>
      <w:r>
        <w:t xml:space="preserve">5.5 Aficionados, clubes y mediadores</w:t>
      </w:r>
    </w:p>
    <w:p>
      <w:pPr>
        <w:pStyle w:val="ListParagraph"/>
        <w:numPr>
          <w:ilvl w:val="0"/>
          <w:numId w:val="2"/>
        </w:numPr>
        <w:spacing w:after="80"/>
      </w:pPr>
      <w:r>
        <w:t xml:space="preserve">Clubes de lectura en colegios, bibliotecas municipales y espacios comunitarios, hoy con baja participación escolar (14,8 %).</w:t>
      </w:r>
    </w:p>
    <w:p>
      <w:pPr>
        <w:pStyle w:val="ListParagraph"/>
        <w:numPr>
          <w:ilvl w:val="0"/>
          <w:numId w:val="2"/>
        </w:numPr>
        <w:spacing w:after="80"/>
      </w:pPr>
      <w:r>
        <w:t xml:space="preserve">Lectura compartida en el hogar: el 95,0 % de hogares con menores realizó al menos una actividad de fomento, base sobre la cual construir programas.</w:t>
      </w:r>
    </w:p>
    <w:p>
      <w:pPr>
        <w:pStyle w:val="ListParagraph"/>
        <w:numPr>
          <w:ilvl w:val="0"/>
          <w:numId w:val="2"/>
        </w:numPr>
        <w:spacing w:after="80"/>
      </w:pPr>
      <w:r>
        <w:t xml:space="preserve">Reseñas y recomendaciones en redes como forma de mediación, dado que comentar lo leído es la actividad más frecuente de los lectores (82,4 %).</w:t>
      </w:r>
    </w:p>
    <w:p>
      <w:pPr>
        <w:pStyle w:val="Heading1"/>
      </w:pPr>
      <w:r>
        <w:t xml:space="preserve">6. Hoja de ruta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3800"/>
        <w:gridCol w:w="3626"/>
      </w:tblGrid>
      <w:tr>
        <w:trPr>
          <w:tblHeader/>
        </w:trPr>
        <w:tc>
          <w:tcPr>
            <w:tcW w:type="dxa" w:w="16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Horizonte</w:t>
            </w:r>
          </w:p>
        </w:tc>
        <w:tc>
          <w:tcPr>
            <w:tcW w:type="dxa" w:w="38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Estado</w:t>
            </w:r>
          </w:p>
        </w:tc>
        <w:tc>
          <w:tcPr>
            <w:tcW w:type="dxa" w:w="36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Industria y creadores</w:t>
            </w:r>
          </w:p>
        </w:tc>
      </w:tr>
      <w:tr>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0 a 12 meses</w:t>
            </w:r>
          </w:p>
        </w:tc>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Diagnóstico de bibliotecas escolares; diseño de la evaluación del Plan Lector; verificar vigencia de beneficios tributarios; calendario de ferias regionales</w:t>
            </w:r>
          </w:p>
        </w:tc>
        <w:tc>
          <w:tcPr>
            <w:tcW w:type="dxa" w:w="36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Pilotos de ediciones económicas; servicio de impresión bajo demanda; tienda online con despacho nacional</w:t>
            </w:r>
          </w:p>
        </w:tc>
      </w:tr>
      <w:tr>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 a 3 años</w:t>
            </w:r>
          </w:p>
        </w:tc>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Dotación de bibliotecas escolares priorizando Amazonía y zona rural; siguiente ENL con módulo de tiempo; compras públicas transparentes</w:t>
            </w:r>
          </w:p>
        </w:tc>
        <w:tc>
          <w:tcPr>
            <w:tcW w:type="dxa" w:w="36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Coediciones regionales; red de puntos de venta en rutas cotidianas; comunidades de lectores</w:t>
            </w:r>
          </w:p>
        </w:tc>
      </w:tr>
      <w:tr>
        <w:tc>
          <w:tcPr>
            <w:tcW w:type="dxa" w:w="16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 a 5 años</w:t>
            </w:r>
          </w:p>
        </w:tc>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Resultados de la evaluación del Plan Lector; ajuste de la PNLLB al 2030; decisión sobre beneficios tributarios con evidencia</w:t>
            </w:r>
          </w:p>
        </w:tc>
        <w:tc>
          <w:tcPr>
            <w:tcW w:type="dxa" w:w="36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Escalar lo que funcionó en pilotos; exportación de contenidos y servicios gráficos</w:t>
            </w:r>
          </w:p>
        </w:tc>
      </w:tr>
    </w:tbl>
    <w:p>
      <w:pPr>
        <w:spacing w:after="120"/>
      </w:pPr>
    </w:p>
    <w:p>
      <w:pPr>
        <w:pStyle w:val="Heading1"/>
      </w:pPr>
      <w:r>
        <w:t xml:space="preserve">7. Indicadores de seguimiento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800"/>
        <w:gridCol w:w="1700"/>
        <w:gridCol w:w="2000"/>
        <w:gridCol w:w="1526"/>
      </w:tblGrid>
      <w:tr>
        <w:trPr>
          <w:tblHeader/>
        </w:trPr>
        <w:tc>
          <w:tcPr>
            <w:tcW w:type="dxa" w:w="38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Indicador</w:t>
            </w:r>
          </w:p>
        </w:tc>
        <w:tc>
          <w:tcPr>
            <w:tcW w:type="dxa" w:w="17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Línea base</w:t>
            </w:r>
          </w:p>
        </w:tc>
        <w:tc>
          <w:tcPr>
            <w:tcW w:type="dxa" w:w="2000"/>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Fuente</w:t>
            </w:r>
          </w:p>
        </w:tc>
        <w:tc>
          <w:tcPr>
            <w:tcW w:type="dxa" w:w="1526"/>
            <w:tcBorders>
              <w:top w:val="single" w:color="D9DCE2" w:sz="4"/>
              <w:left w:val="single" w:color="D9DCE2" w:sz="4"/>
              <w:bottom w:val="single" w:color="D9DCE2" w:sz="4"/>
              <w:right w:val="single" w:color="D9DCE2" w:sz="4"/>
            </w:tcBorders>
            <w:shd w:fill="E9ECF4" w:color="auto" w:val="clear"/>
            <w:tcMar>
              <w:top w:type="dxa" w:w="70"/>
              <w:left w:type="dxa" w:w="110"/>
              <w:bottom w:type="dxa" w:w="70"/>
              <w:right w:type="dxa" w:w="110"/>
            </w:tcMar>
          </w:tcPr>
          <w:p>
            <w:pPr>
              <w:spacing w:after="0"/>
            </w:pPr>
            <w:r>
              <w:rPr>
                <w:b/>
                <w:bCs/>
                <w:color w:val="1E2A4A"/>
                <w:sz w:val="19"/>
                <w:szCs w:val="19"/>
              </w:rPr>
              <w:t xml:space="preserve">Frecuencia</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población 18-64 que leyó al menos un libro</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47,3 %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Brecha urbano-rural en lectura de libros</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20,5 puntos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 (cálculo)</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Promedio de libros leídos al año</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1,9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escolares que participa en biblioteca escolar</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34,5 %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4.º primaria en nivel satisfactorio en lectura</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32,8 % (2024)</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ENLA</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Anual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ISBN asignados</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8.893 (2024)</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Cerlalc / BNP</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Anual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ISBN digitales</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19,5 % (2024)</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Cerlalc (cálculo)</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Anual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 compradores en canal informal</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27,8 %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r>
        <w:tc>
          <w:tcPr>
            <w:tcW w:type="dxa" w:w="38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Asistencia a ferias del libro</w:t>
            </w:r>
          </w:p>
        </w:tc>
        <w:tc>
          <w:tcPr>
            <w:tcW w:type="dxa" w:w="17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14,0 % (2022)</w:t>
            </w:r>
          </w:p>
        </w:tc>
        <w:tc>
          <w:tcPr>
            <w:tcW w:type="dxa" w:w="2000"/>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ENL</w:t>
            </w:r>
          </w:p>
        </w:tc>
        <w:tc>
          <w:tcPr>
            <w:tcW w:type="dxa" w:w="1526"/>
            <w:tcBorders>
              <w:top w:val="single" w:color="D9DCE2" w:sz="4"/>
              <w:left w:val="single" w:color="D9DCE2" w:sz="4"/>
              <w:bottom w:val="single" w:color="D9DCE2" w:sz="4"/>
              <w:right w:val="single" w:color="D9DCE2" w:sz="4"/>
            </w:tcBorders>
            <w:tcMar>
              <w:top w:type="dxa" w:w="70"/>
              <w:left w:type="dxa" w:w="110"/>
              <w:bottom w:type="dxa" w:w="70"/>
              <w:right w:type="dxa" w:w="110"/>
            </w:tcMar>
          </w:tcPr>
          <w:p>
            <w:pPr>
              <w:spacing w:after="0"/>
            </w:pPr>
            <w:r>
              <w:rPr>
                <w:b w:val="false"/>
                <w:bCs w:val="false"/>
                <w:sz w:val="19"/>
                <w:szCs w:val="19"/>
              </w:rPr>
              <w:t xml:space="preserve">Trienal</w:t>
            </w:r>
          </w:p>
        </w:tc>
      </w:tr>
    </w:tbl>
    <w:p>
      <w:pPr>
        <w:spacing w:after="120"/>
      </w:pPr>
    </w:p>
    <w:p>
      <w:pPr>
        <w:pStyle w:val="Heading1"/>
      </w:pPr>
      <w:r>
        <w:t xml:space="preserve">8. Vacíos de información</w:t>
      </w:r>
    </w:p>
    <w:p>
      <w:pPr>
        <w:pStyle w:val="ListParagraph"/>
        <w:numPr>
          <w:ilvl w:val="0"/>
          <w:numId w:val="2"/>
        </w:numPr>
        <w:spacing w:after="80"/>
      </w:pPr>
      <w:r>
        <w:t xml:space="preserve">No se encontró una ENL posterior a 2022 publicada (la Ley 31053 prevé su aplicación cada tres años). Verificar con Mincul.</w:t>
      </w:r>
    </w:p>
    <w:p>
      <w:pPr>
        <w:pStyle w:val="ListParagraph"/>
        <w:numPr>
          <w:ilvl w:val="0"/>
          <w:numId w:val="2"/>
        </w:numPr>
        <w:spacing w:after="80"/>
      </w:pPr>
      <w:r>
        <w:t xml:space="preserve">Lectura de libros por departamento: existe en los 24 informes departamentales de la ENL 2022 (perulee.pe); no se extrajo en esta versión.</w:t>
      </w:r>
    </w:p>
    <w:p>
      <w:pPr>
        <w:pStyle w:val="ListParagraph"/>
        <w:numPr>
          <w:ilvl w:val="0"/>
          <w:numId w:val="2"/>
        </w:numPr>
        <w:spacing w:after="80"/>
      </w:pPr>
      <w:r>
        <w:t xml:space="preserve">Minutos diarios dedicados a la lectura de libros: la ENL mide frecuencia, no tiempo. Sin dato oficial.</w:t>
      </w:r>
    </w:p>
    <w:p>
      <w:pPr>
        <w:pStyle w:val="ListParagraph"/>
        <w:numPr>
          <w:ilvl w:val="0"/>
          <w:numId w:val="2"/>
        </w:numPr>
        <w:spacing w:after="80"/>
      </w:pPr>
      <w:r>
        <w:t xml:space="preserve">Tiempo diario en redes sociales específico de Perú: no se obtuvo cifra verificable para 2025-2026.</w:t>
      </w:r>
    </w:p>
    <w:p>
      <w:pPr>
        <w:pStyle w:val="ListParagraph"/>
        <w:numPr>
          <w:ilvl w:val="0"/>
          <w:numId w:val="2"/>
        </w:numPr>
        <w:spacing w:after="80"/>
      </w:pPr>
      <w:r>
        <w:t xml:space="preserve">Cuotas de mercado por editorial o librería: no son públicas.</w:t>
      </w:r>
    </w:p>
    <w:p>
      <w:pPr>
        <w:pStyle w:val="ListParagraph"/>
        <w:numPr>
          <w:ilvl w:val="0"/>
          <w:numId w:val="2"/>
        </w:numPr>
        <w:spacing w:after="80"/>
      </w:pPr>
      <w:r>
        <w:t xml:space="preserve">Ventas FIL Lima 2024 y 2025: no se encontró cifra oficial publicada.</w:t>
      </w:r>
    </w:p>
    <w:p>
      <w:pPr>
        <w:pStyle w:val="ListParagraph"/>
        <w:numPr>
          <w:ilvl w:val="0"/>
          <w:numId w:val="2"/>
        </w:numPr>
        <w:spacing w:after="80"/>
      </w:pPr>
      <w:r>
        <w:t xml:space="preserve">Tamaño del mercado del libro 2024-2026: no hay estimación pública reciente; las disponibles (2017, 2019) son gremiales.</w:t>
      </w:r>
    </w:p>
    <w:p>
      <w:pPr>
        <w:pStyle w:val="ListParagraph"/>
        <w:numPr>
          <w:ilvl w:val="0"/>
          <w:numId w:val="2"/>
        </w:numPr>
        <w:spacing w:after="80"/>
      </w:pPr>
      <w:r>
        <w:t xml:space="preserve">Evaluación de impacto nacional del Plan Lector: no se encontró. Solo estudios locales con diseños débiles.</w:t>
      </w:r>
    </w:p>
    <w:p>
      <w:pPr>
        <w:pStyle w:val="ListParagraph"/>
        <w:numPr>
          <w:ilvl w:val="0"/>
          <w:numId w:val="2"/>
        </w:numPr>
        <w:spacing w:after="80"/>
      </w:pPr>
      <w:r>
        <w:t xml:space="preserve">Magnitud económica de la piratería: sin estimación pública reciente.</w:t>
      </w:r>
    </w:p>
    <w:p>
      <w:pPr>
        <w:pStyle w:val="Heading1"/>
      </w:pPr>
      <w:r>
        <w:t xml:space="preserve">9. Fuentes</w:t>
      </w:r>
    </w:p>
    <w:p>
      <w:pPr>
        <w:spacing w:after="160"/>
      </w:pPr>
      <w:r>
        <w:rPr>
          <w:i/>
          <w:iCs/>
          <w:color w:val="5F6675"/>
          <w:sz w:val="20"/>
          <w:szCs w:val="20"/>
        </w:rPr>
        <w:t xml:space="preserve">Consultadas el 6 de octubre de 2026. El tipo de fuente indica su nivel de confiabilidad.</w:t>
      </w:r>
    </w:p>
    <w:p>
      <w:pPr>
        <w:pStyle w:val="ListParagraph"/>
        <w:numPr>
          <w:ilvl w:val="0"/>
          <w:numId w:val="3"/>
        </w:numPr>
        <w:spacing w:after="80"/>
      </w:pPr>
      <w:r>
        <w:rPr>
          <w:b/>
          <w:bCs/>
          <w:sz w:val="20"/>
          <w:szCs w:val="20"/>
        </w:rPr>
        <w:t xml:space="preserve">INEI / Ministerio de Cultura (2023). </w:t>
      </w:r>
      <w:r>
        <w:rPr>
          <w:sz w:val="20"/>
          <w:szCs w:val="20"/>
        </w:rPr>
        <w:t xml:space="preserve">Encuesta Nacional de Lectura 2022 – Perú: características del comportamiento lector de las personas de 0 a 64 años. Oficial. </w:t>
      </w:r>
      <w:hyperlink w:history="1" r:id="rIdp5r6rjenqa75-gnvqti9y">
        <w:r>
          <w:rPr>
            <w:rStyle w:val="Hyperlink"/>
            <w:sz w:val="18"/>
            <w:szCs w:val="18"/>
          </w:rPr>
          <w:t xml:space="preserve">https://www.inei.gob.pe/media/MenuRecursivo/publicaciones_digitales/Est/Lib1897/libro.pdf</w:t>
        </w:r>
      </w:hyperlink>
    </w:p>
    <w:p>
      <w:pPr>
        <w:pStyle w:val="ListParagraph"/>
        <w:numPr>
          <w:ilvl w:val="0"/>
          <w:numId w:val="3"/>
        </w:numPr>
        <w:spacing w:after="80"/>
      </w:pPr>
      <w:r>
        <w:rPr>
          <w:b/>
          <w:bCs/>
          <w:sz w:val="20"/>
          <w:szCs w:val="20"/>
        </w:rPr>
        <w:t xml:space="preserve">Panamericana / Mincul (2023). </w:t>
      </w:r>
      <w:r>
        <w:rPr>
          <w:sz w:val="20"/>
          <w:szCs w:val="20"/>
        </w:rPr>
        <w:t xml:space="preserve">ENL 2022: el 47,3 % de peruanos leyó por lo menos un libro (nota de prensa con cifras Mincul). Prensa (cita fuente oficial). </w:t>
      </w:r>
      <w:hyperlink w:history="1" r:id="rIdjl-pstm7rffr8wk0cl4cf">
        <w:r>
          <w:rPr>
            <w:rStyle w:val="Hyperlink"/>
            <w:sz w:val="18"/>
            <w:szCs w:val="18"/>
          </w:rPr>
          <w:t xml:space="preserve">https://panamericana.pe/cultura/379229-encuesta-nacional-lectura-2022-47-3-peruanos-leyo-menos-libro</w:t>
        </w:r>
      </w:hyperlink>
    </w:p>
    <w:p>
      <w:pPr>
        <w:pStyle w:val="ListParagraph"/>
        <w:numPr>
          <w:ilvl w:val="0"/>
          <w:numId w:val="3"/>
        </w:numPr>
        <w:spacing w:after="80"/>
      </w:pPr>
      <w:r>
        <w:rPr>
          <w:b/>
          <w:bCs/>
          <w:sz w:val="20"/>
          <w:szCs w:val="20"/>
        </w:rPr>
        <w:t xml:space="preserve">Cerlalc / Universidad Eafit (2026). </w:t>
      </w:r>
      <w:r>
        <w:rPr>
          <w:sz w:val="20"/>
          <w:szCs w:val="20"/>
        </w:rPr>
        <w:t xml:space="preserve">Panorama de la actividad editorial en América Latina 2019-2024. Organismo internacional (datos de agencias ISBN). </w:t>
      </w:r>
      <w:hyperlink w:history="1" r:id="rIdnif5q04xknv3vcudwrlwf">
        <w:r>
          <w:rPr>
            <w:rStyle w:val="Hyperlink"/>
            <w:sz w:val="18"/>
            <w:szCs w:val="18"/>
          </w:rPr>
          <w:t xml:space="preserve">https://cerlalc.org/wp-content/uploads/2026/07/Panoram-de-la-actividad-editorial-2019-2024_Cerlalc_Agosto.pdf</w:t>
        </w:r>
      </w:hyperlink>
    </w:p>
    <w:p>
      <w:pPr>
        <w:pStyle w:val="ListParagraph"/>
        <w:numPr>
          <w:ilvl w:val="0"/>
          <w:numId w:val="3"/>
        </w:numPr>
        <w:spacing w:after="80"/>
      </w:pPr>
      <w:r>
        <w:rPr>
          <w:b/>
          <w:bCs/>
          <w:sz w:val="20"/>
          <w:szCs w:val="20"/>
        </w:rPr>
        <w:t xml:space="preserve">La República (cifras Minedu) (2025). </w:t>
      </w:r>
      <w:r>
        <w:rPr>
          <w:sz w:val="20"/>
          <w:szCs w:val="20"/>
        </w:rPr>
        <w:t xml:space="preserve">ENLA 2024: solo 3 de cada 10 escolares de 4.º de primaria entiende lo que lee. Prensa (cita fuente oficial). </w:t>
      </w:r>
      <w:hyperlink w:history="1" r:id="rId8ffaxejjema998ii4r9ab">
        <w:r>
          <w:rPr>
            <w:rStyle w:val="Hyperlink"/>
            <w:sz w:val="18"/>
            <w:szCs w:val="18"/>
          </w:rPr>
          <w:t xml:space="preserve">https://larepublica.pe/sociedad/2025/04/14/minedu-revela-que-solo-3-de-cada-10-escolares-de-cuarto-de-primaria-entiende-lo-que-lee-brecha-se-intensifica-en-regiones-amazonicas-746998</w:t>
        </w:r>
      </w:hyperlink>
    </w:p>
    <w:p>
      <w:pPr>
        <w:pStyle w:val="ListParagraph"/>
        <w:numPr>
          <w:ilvl w:val="0"/>
          <w:numId w:val="3"/>
        </w:numPr>
        <w:spacing w:after="80"/>
      </w:pPr>
      <w:r>
        <w:rPr>
          <w:b/>
          <w:bCs/>
          <w:sz w:val="20"/>
          <w:szCs w:val="20"/>
        </w:rPr>
        <w:t xml:space="preserve">L. Trahtemberg en Correo / Lampadia (2025). </w:t>
      </w:r>
      <w:r>
        <w:rPr>
          <w:sz w:val="20"/>
          <w:szCs w:val="20"/>
        </w:rPr>
        <w:t xml:space="preserve">Columna sobre ENLA 2024 (4.º y 6.º de primaria). Opinión (cita cifras oficiales). </w:t>
      </w:r>
      <w:hyperlink w:history="1" r:id="rIdzbykyvxigudwop1mjajec">
        <w:r>
          <w:rPr>
            <w:rStyle w:val="Hyperlink"/>
            <w:sz w:val="18"/>
            <w:szCs w:val="18"/>
          </w:rPr>
          <w:t xml:space="preserve">https://lampadia.com/?p=68506</w:t>
        </w:r>
      </w:hyperlink>
    </w:p>
    <w:p>
      <w:pPr>
        <w:pStyle w:val="ListParagraph"/>
        <w:numPr>
          <w:ilvl w:val="0"/>
          <w:numId w:val="3"/>
        </w:numPr>
        <w:spacing w:after="80"/>
      </w:pPr>
      <w:r>
        <w:rPr>
          <w:b/>
          <w:bCs/>
          <w:sz w:val="20"/>
          <w:szCs w:val="20"/>
        </w:rPr>
        <w:t xml:space="preserve">Diario Correo (2025). </w:t>
      </w:r>
      <w:r>
        <w:rPr>
          <w:sz w:val="20"/>
          <w:szCs w:val="20"/>
        </w:rPr>
        <w:t xml:space="preserve">Ica: resultados ENLA 2024. Prensa. </w:t>
      </w:r>
      <w:hyperlink w:history="1" r:id="rIdpokvoeic2gajqazjvlzsf">
        <w:r>
          <w:rPr>
            <w:rStyle w:val="Hyperlink"/>
            <w:sz w:val="18"/>
            <w:szCs w:val="18"/>
          </w:rPr>
          <w:t xml:space="preserve">https://diariocorreo.pe/edicion/ica/ica-solo-3-de-cada-10-estudiantes-de-cuarto-de-primaria-alcanzo-resultados-satisfactorios-en-matematicas-noticia/</w:t>
        </w:r>
      </w:hyperlink>
    </w:p>
    <w:p>
      <w:pPr>
        <w:pStyle w:val="ListParagraph"/>
        <w:numPr>
          <w:ilvl w:val="0"/>
          <w:numId w:val="3"/>
        </w:numPr>
        <w:spacing w:after="80"/>
      </w:pPr>
      <w:r>
        <w:rPr>
          <w:b/>
          <w:bCs/>
          <w:sz w:val="20"/>
          <w:szCs w:val="20"/>
        </w:rPr>
        <w:t xml:space="preserve">DRE Ayacucho (2025). </w:t>
      </w:r>
      <w:r>
        <w:rPr>
          <w:sz w:val="20"/>
          <w:szCs w:val="20"/>
        </w:rPr>
        <w:t xml:space="preserve">Ayacucho avanza en ENLA 2024. Oficial regional. </w:t>
      </w:r>
      <w:hyperlink w:history="1" r:id="rIdmaloixrkqx92pcq9zapa4">
        <w:r>
          <w:rPr>
            <w:rStyle w:val="Hyperlink"/>
            <w:sz w:val="18"/>
            <w:szCs w:val="18"/>
          </w:rPr>
          <w:t xml:space="preserve">https://dreayacucho.gob.pe/storage/documentos/2025/notas-de-prensa/01JRBPQRKTPFWJY6YPVBZ2MQMS.pdf</w:t>
        </w:r>
      </w:hyperlink>
    </w:p>
    <w:p>
      <w:pPr>
        <w:pStyle w:val="ListParagraph"/>
        <w:numPr>
          <w:ilvl w:val="0"/>
          <w:numId w:val="3"/>
        </w:numPr>
        <w:spacing w:after="80"/>
      </w:pPr>
      <w:r>
        <w:rPr>
          <w:b/>
          <w:bCs/>
          <w:sz w:val="20"/>
          <w:szCs w:val="20"/>
        </w:rPr>
        <w:t xml:space="preserve">Minedu – UMC (2026). </w:t>
      </w:r>
      <w:r>
        <w:rPr>
          <w:sz w:val="20"/>
          <w:szCs w:val="20"/>
        </w:rPr>
        <w:t xml:space="preserve">ENLA 2025: resumen ejecutivo. Oficial. </w:t>
      </w:r>
      <w:hyperlink w:history="1" r:id="rIdmxtdtnf9wbmhhnuagohzm">
        <w:r>
          <w:rPr>
            <w:rStyle w:val="Hyperlink"/>
            <w:sz w:val="18"/>
            <w:szCs w:val="18"/>
          </w:rPr>
          <w:t xml:space="preserve">https://repositorio.minedu.gob.pe/handle/20.500.12799/12773</w:t>
        </w:r>
      </w:hyperlink>
    </w:p>
    <w:p>
      <w:pPr>
        <w:pStyle w:val="ListParagraph"/>
        <w:numPr>
          <w:ilvl w:val="0"/>
          <w:numId w:val="3"/>
        </w:numPr>
        <w:spacing w:after="80"/>
      </w:pPr>
      <w:r>
        <w:rPr>
          <w:b/>
          <w:bCs/>
          <w:sz w:val="20"/>
          <w:szCs w:val="20"/>
        </w:rPr>
        <w:t xml:space="preserve">DataReportal / Kepios (2026). </w:t>
      </w:r>
      <w:r>
        <w:rPr>
          <w:sz w:val="20"/>
          <w:szCs w:val="20"/>
        </w:rPr>
        <w:t xml:space="preserve">Digital 2026: Peru. Privado (estimación). </w:t>
      </w:r>
      <w:hyperlink w:history="1" r:id="rIdlnc9hobqvz_pmj6kbz6eu">
        <w:r>
          <w:rPr>
            <w:rStyle w:val="Hyperlink"/>
            <w:sz w:val="18"/>
            <w:szCs w:val="18"/>
          </w:rPr>
          <w:t xml:space="preserve">https://datareportal.com/reports/digital-2026-peru</w:t>
        </w:r>
      </w:hyperlink>
    </w:p>
    <w:p>
      <w:pPr>
        <w:pStyle w:val="ListParagraph"/>
        <w:numPr>
          <w:ilvl w:val="0"/>
          <w:numId w:val="3"/>
        </w:numPr>
        <w:spacing w:after="80"/>
      </w:pPr>
      <w:r>
        <w:rPr>
          <w:b/>
          <w:bCs/>
          <w:sz w:val="20"/>
          <w:szCs w:val="20"/>
        </w:rPr>
        <w:t xml:space="preserve">Gestión (declaraciones CPL) (2024). </w:t>
      </w:r>
      <w:r>
        <w:rPr>
          <w:sz w:val="20"/>
          <w:szCs w:val="20"/>
        </w:rPr>
        <w:t xml:space="preserve">Los factores que dispararán la facturación de librerías en dos dígitos este año. Prensa / gremio. </w:t>
      </w:r>
      <w:hyperlink w:history="1" r:id="rIdzyuxxbicqgq34c3xmubpo">
        <w:r>
          <w:rPr>
            <w:rStyle w:val="Hyperlink"/>
            <w:sz w:val="18"/>
            <w:szCs w:val="18"/>
          </w:rPr>
          <w:t xml:space="preserve">https://gestion.pe/economia/empresas/los-factores-detras-que-dispararan-la-facturacion-de-librerias-en-dos-digitos-este-ano-cpl-empresas-librerias-ley-del-libro-peru-noticia/</w:t>
        </w:r>
      </w:hyperlink>
    </w:p>
    <w:p>
      <w:pPr>
        <w:pStyle w:val="ListParagraph"/>
        <w:numPr>
          <w:ilvl w:val="0"/>
          <w:numId w:val="3"/>
        </w:numPr>
        <w:spacing w:after="80"/>
      </w:pPr>
      <w:r>
        <w:rPr>
          <w:b/>
          <w:bCs/>
          <w:sz w:val="20"/>
          <w:szCs w:val="20"/>
        </w:rPr>
        <w:t xml:space="preserve">Gestión (declaraciones CPL) (2025). </w:t>
      </w:r>
      <w:r>
        <w:rPr>
          <w:sz w:val="20"/>
          <w:szCs w:val="20"/>
        </w:rPr>
        <w:t xml:space="preserve">¿Lectura en caída?: las expectativas del mercado editorial peruano con la FIL 2025. Prensa / gremio. </w:t>
      </w:r>
      <w:hyperlink w:history="1" r:id="rIdxiiiev-_kkf_w82gq4iky">
        <w:r>
          <w:rPr>
            <w:rStyle w:val="Hyperlink"/>
            <w:sz w:val="18"/>
            <w:szCs w:val="18"/>
          </w:rPr>
          <w:t xml:space="preserve">https://gestion.pe/peru/lectura-en-caida-las-expectativas-del-mercado-editorial-peruano-noticia/</w:t>
        </w:r>
      </w:hyperlink>
    </w:p>
    <w:p>
      <w:pPr>
        <w:pStyle w:val="ListParagraph"/>
        <w:numPr>
          <w:ilvl w:val="0"/>
          <w:numId w:val="3"/>
        </w:numPr>
        <w:spacing w:after="80"/>
      </w:pPr>
      <w:r>
        <w:rPr>
          <w:b/>
          <w:bCs/>
          <w:sz w:val="20"/>
          <w:szCs w:val="20"/>
        </w:rPr>
        <w:t xml:space="preserve">Andina (declaraciones CPL) (2019). </w:t>
      </w:r>
      <w:r>
        <w:rPr>
          <w:sz w:val="20"/>
          <w:szCs w:val="20"/>
        </w:rPr>
        <w:t xml:space="preserve">Mercado de libros mueve al año alrededor de S/ 700 millones en Perú. Prensa / gremio. </w:t>
      </w:r>
      <w:hyperlink w:history="1" r:id="rIdkmczq8gm8ewff5ctvew6h">
        <w:r>
          <w:rPr>
            <w:rStyle w:val="Hyperlink"/>
            <w:sz w:val="18"/>
            <w:szCs w:val="18"/>
          </w:rPr>
          <w:t xml:space="preserve">https://andina.pe/agencia/noticia-mercado-libros-mueve-al-ano-alrededor-s-700-millones-peru-769453.aspx</w:t>
        </w:r>
      </w:hyperlink>
    </w:p>
    <w:p>
      <w:pPr>
        <w:pStyle w:val="ListParagraph"/>
        <w:numPr>
          <w:ilvl w:val="0"/>
          <w:numId w:val="3"/>
        </w:numPr>
        <w:spacing w:after="80"/>
      </w:pPr>
      <w:r>
        <w:rPr>
          <w:b/>
          <w:bCs/>
          <w:sz w:val="20"/>
          <w:szCs w:val="20"/>
        </w:rPr>
        <w:t xml:space="preserve">Andina (declaraciones CPL) (2018). </w:t>
      </w:r>
      <w:r>
        <w:rPr>
          <w:sz w:val="20"/>
          <w:szCs w:val="20"/>
        </w:rPr>
        <w:t xml:space="preserve">Feria Internacional del Libro: mercado peruano mueve casi S/ 900 millones al año. Prensa / gremio. </w:t>
      </w:r>
      <w:hyperlink w:history="1" r:id="rIds1lbl5wfwzyezeobnvslh">
        <w:r>
          <w:rPr>
            <w:rStyle w:val="Hyperlink"/>
            <w:sz w:val="18"/>
            <w:szCs w:val="18"/>
          </w:rPr>
          <w:t xml:space="preserve">https://andina.pe/agencia/noticia-feria-internacional-del-libro-mercado-peruano-mueve-casi-s-900-millones-al-ano-749381.aspx</w:t>
        </w:r>
      </w:hyperlink>
    </w:p>
    <w:p>
      <w:pPr>
        <w:pStyle w:val="ListParagraph"/>
        <w:numPr>
          <w:ilvl w:val="0"/>
          <w:numId w:val="3"/>
        </w:numPr>
        <w:spacing w:after="80"/>
      </w:pPr>
      <w:r>
        <w:rPr>
          <w:b/>
          <w:bCs/>
          <w:sz w:val="20"/>
          <w:szCs w:val="20"/>
        </w:rPr>
        <w:t xml:space="preserve">El Peruano (2026). </w:t>
      </w:r>
      <w:r>
        <w:rPr>
          <w:sz w:val="20"/>
          <w:szCs w:val="20"/>
        </w:rPr>
        <w:t xml:space="preserve">Lo que nos dejó la FIL Lima 2026. Prensa (cifras CPL). </w:t>
      </w:r>
      <w:hyperlink w:history="1" r:id="rIdjlj6sloty7bk_ygykev4d">
        <w:r>
          <w:rPr>
            <w:rStyle w:val="Hyperlink"/>
            <w:sz w:val="18"/>
            <w:szCs w:val="18"/>
          </w:rPr>
          <w:t xml:space="preserve">https://www.elperuano.pe/noticia/302024-lo-que-nos-dejo-la-fil-lima-2026</w:t>
        </w:r>
      </w:hyperlink>
    </w:p>
    <w:p>
      <w:pPr>
        <w:pStyle w:val="ListParagraph"/>
        <w:numPr>
          <w:ilvl w:val="0"/>
          <w:numId w:val="3"/>
        </w:numPr>
        <w:spacing w:after="80"/>
      </w:pPr>
      <w:r>
        <w:rPr>
          <w:b/>
          <w:bCs/>
          <w:sz w:val="20"/>
          <w:szCs w:val="20"/>
        </w:rPr>
        <w:t xml:space="preserve">Caretas (cifras CPL) (2025). </w:t>
      </w:r>
      <w:r>
        <w:rPr>
          <w:sz w:val="20"/>
          <w:szCs w:val="20"/>
        </w:rPr>
        <w:t xml:space="preserve">FIL Lima 2025: los libros más vendidos. Prensa. </w:t>
      </w:r>
      <w:hyperlink w:history="1" r:id="rIdfcvtfixbkowmox-x37nu3">
        <w:r>
          <w:rPr>
            <w:rStyle w:val="Hyperlink"/>
            <w:sz w:val="18"/>
            <w:szCs w:val="18"/>
          </w:rPr>
          <w:t xml:space="preserve">https://caretas.pe/?p=761243</w:t>
        </w:r>
      </w:hyperlink>
    </w:p>
    <w:p>
      <w:pPr>
        <w:pStyle w:val="ListParagraph"/>
        <w:numPr>
          <w:ilvl w:val="0"/>
          <w:numId w:val="3"/>
        </w:numPr>
        <w:spacing w:after="80"/>
      </w:pPr>
      <w:r>
        <w:rPr>
          <w:b/>
          <w:bCs/>
          <w:sz w:val="20"/>
          <w:szCs w:val="20"/>
        </w:rPr>
        <w:t xml:space="preserve">Contadores y Empresas (2024). </w:t>
      </w:r>
      <w:r>
        <w:rPr>
          <w:sz w:val="20"/>
          <w:szCs w:val="20"/>
        </w:rPr>
        <w:t xml:space="preserve">Reglamento de beneficios tributarios de la Ley del Libro (Ley 31893, DS 058-2024-EF). Especializada (resume norma). </w:t>
      </w:r>
      <w:hyperlink w:history="1" r:id="rIda5efslcfs53wy5qa6lqxy">
        <w:r>
          <w:rPr>
            <w:rStyle w:val="Hyperlink"/>
            <w:sz w:val="18"/>
            <w:szCs w:val="18"/>
          </w:rPr>
          <w:t xml:space="preserve">https://www.contadoresyempresas.com.pe/aprueban-reglamento-de-los-beneficios-tributarios-de-la-ley-del-libro/</w:t>
        </w:r>
      </w:hyperlink>
    </w:p>
    <w:p>
      <w:pPr>
        <w:pStyle w:val="ListParagraph"/>
        <w:numPr>
          <w:ilvl w:val="0"/>
          <w:numId w:val="3"/>
        </w:numPr>
        <w:spacing w:after="80"/>
      </w:pPr>
      <w:r>
        <w:rPr>
          <w:b/>
          <w:bCs/>
          <w:sz w:val="20"/>
          <w:szCs w:val="20"/>
        </w:rPr>
        <w:t xml:space="preserve">Publishnews (2024). </w:t>
      </w:r>
      <w:r>
        <w:rPr>
          <w:sz w:val="20"/>
          <w:szCs w:val="20"/>
        </w:rPr>
        <w:t xml:space="preserve">El Gobierno peruano aprueba el Reglamento de la Ley del Libro. Especializada. </w:t>
      </w:r>
      <w:hyperlink w:history="1" r:id="rIdg_egu29onm1yoywckq-b2">
        <w:r>
          <w:rPr>
            <w:rStyle w:val="Hyperlink"/>
            <w:sz w:val="18"/>
            <w:szCs w:val="18"/>
          </w:rPr>
          <w:t xml:space="preserve">https://publishnews.es/reglamento-ley-libro-peru/</w:t>
        </w:r>
      </w:hyperlink>
    </w:p>
    <w:p>
      <w:pPr>
        <w:pStyle w:val="ListParagraph"/>
        <w:numPr>
          <w:ilvl w:val="0"/>
          <w:numId w:val="3"/>
        </w:numPr>
        <w:spacing w:after="80"/>
      </w:pPr>
      <w:r>
        <w:rPr>
          <w:b/>
          <w:bCs/>
          <w:sz w:val="20"/>
          <w:szCs w:val="20"/>
        </w:rPr>
        <w:t xml:space="preserve">ByB Consultores (2026). </w:t>
      </w:r>
      <w:r>
        <w:rPr>
          <w:sz w:val="20"/>
          <w:szCs w:val="20"/>
        </w:rPr>
        <w:t xml:space="preserve">Prórroga de exoneraciones del IGV (Apéndices I y II) hasta el 31/12/2028 – Ley 32542. Especializada (verificar en El Peruano). </w:t>
      </w:r>
      <w:hyperlink w:history="1" r:id="rId8you3qd8lmoglwbzqzopu">
        <w:r>
          <w:rPr>
            <w:rStyle w:val="Hyperlink"/>
            <w:sz w:val="18"/>
            <w:szCs w:val="18"/>
          </w:rPr>
          <w:t xml:space="preserve">https://bybconsultores.pe/impuesto-a-la-renta/comun-igv-renta/prorroga-de-las-exoneraciones-del-igv-vigencia-de-los-apendices-i-y-ii-hasta-el-31-de-diciembre-de-2028/</w:t>
        </w:r>
      </w:hyperlink>
    </w:p>
    <w:p>
      <w:pPr>
        <w:pStyle w:val="ListParagraph"/>
        <w:numPr>
          <w:ilvl w:val="0"/>
          <w:numId w:val="3"/>
        </w:numPr>
        <w:spacing w:after="80"/>
      </w:pPr>
      <w:r>
        <w:rPr>
          <w:b/>
          <w:bCs/>
          <w:sz w:val="20"/>
          <w:szCs w:val="20"/>
        </w:rPr>
        <w:t xml:space="preserve">Biblioteca Nacional del Perú (2019). </w:t>
      </w:r>
      <w:r>
        <w:rPr>
          <w:sz w:val="20"/>
          <w:szCs w:val="20"/>
        </w:rPr>
        <w:t xml:space="preserve">Producción editorial por departamentos (sin Lima) 2019 – Bibliografía Peruana. Oficial. </w:t>
      </w:r>
      <w:hyperlink w:history="1" r:id="rIds2x6trae3ie5cw1yff-zg">
        <w:r>
          <w:rPr>
            <w:rStyle w:val="Hyperlink"/>
            <w:sz w:val="18"/>
            <w:szCs w:val="18"/>
          </w:rPr>
          <w:t xml:space="preserve">https://www.bnp.gob.pe/documentos/bibliografia-peruana/estadisticos/produccion-editorial-por-departamentos-sin-lima-2019.pdf</w:t>
        </w:r>
      </w:hyperlink>
    </w:p>
    <w:p>
      <w:pPr>
        <w:pStyle w:val="ListParagraph"/>
        <w:numPr>
          <w:ilvl w:val="0"/>
          <w:numId w:val="3"/>
        </w:numPr>
        <w:spacing w:after="80"/>
      </w:pPr>
      <w:r>
        <w:rPr>
          <w:b/>
          <w:bCs/>
          <w:sz w:val="20"/>
          <w:szCs w:val="20"/>
        </w:rPr>
        <w:t xml:space="preserve">Biblioteca Nacional del Perú (2025). </w:t>
      </w:r>
      <w:r>
        <w:rPr>
          <w:sz w:val="20"/>
          <w:szCs w:val="20"/>
        </w:rPr>
        <w:t xml:space="preserve">BNP: balance de producción editorial 2025. Oficial. </w:t>
      </w:r>
      <w:hyperlink w:history="1" r:id="rIdxfz8hmoals9enhhd8toju">
        <w:r>
          <w:rPr>
            <w:rStyle w:val="Hyperlink"/>
            <w:sz w:val="18"/>
            <w:szCs w:val="18"/>
          </w:rPr>
          <w:t xml:space="preserve">https://www.bnp.gob.pe/?p=38512</w:t>
        </w:r>
      </w:hyperlink>
    </w:p>
    <w:p>
      <w:pPr>
        <w:pStyle w:val="ListParagraph"/>
        <w:numPr>
          <w:ilvl w:val="0"/>
          <w:numId w:val="3"/>
        </w:numPr>
        <w:spacing w:after="80"/>
      </w:pPr>
      <w:r>
        <w:rPr>
          <w:b/>
          <w:bCs/>
          <w:sz w:val="20"/>
          <w:szCs w:val="20"/>
        </w:rPr>
        <w:t xml:space="preserve">Biblioteca Nacional del Perú (2026). </w:t>
      </w:r>
      <w:r>
        <w:rPr>
          <w:sz w:val="20"/>
          <w:szCs w:val="20"/>
        </w:rPr>
        <w:t xml:space="preserve">BNP lanza el Módulo de Trámites ISBN en línea. Oficial. </w:t>
      </w:r>
      <w:hyperlink w:history="1" r:id="rId3g1zrq29pbhiieyebpysn">
        <w:r>
          <w:rPr>
            <w:rStyle w:val="Hyperlink"/>
            <w:sz w:val="18"/>
            <w:szCs w:val="18"/>
          </w:rPr>
          <w:t xml:space="preserve">https://www.bnp.gob.pe/?p=40405</w:t>
        </w:r>
      </w:hyperlink>
    </w:p>
    <w:p>
      <w:pPr>
        <w:pStyle w:val="ListParagraph"/>
        <w:numPr>
          <w:ilvl w:val="0"/>
          <w:numId w:val="3"/>
        </w:numPr>
        <w:spacing w:after="80"/>
      </w:pPr>
      <w:r>
        <w:rPr>
          <w:b/>
          <w:bCs/>
          <w:sz w:val="20"/>
          <w:szCs w:val="20"/>
        </w:rPr>
        <w:t xml:space="preserve">IEP – Crítica y Debate (2025). </w:t>
      </w:r>
      <w:r>
        <w:rPr>
          <w:sz w:val="20"/>
          <w:szCs w:val="20"/>
        </w:rPr>
        <w:t xml:space="preserve">¿Hay una burbuja de libros de ciencias sociales en el Perú?. Análisis. </w:t>
      </w:r>
      <w:hyperlink w:history="1" r:id="rIdu9w8teqejixh6locyvj4h">
        <w:r>
          <w:rPr>
            <w:rStyle w:val="Hyperlink"/>
            <w:sz w:val="18"/>
            <w:szCs w:val="18"/>
          </w:rPr>
          <w:t xml:space="preserve">https://criticaydebate.iep.org.pe/noticias/hay-una-burbuja-de-libros-de-ciencias-sociales-en-el-peru/</w:t>
        </w:r>
      </w:hyperlink>
    </w:p>
    <w:p>
      <w:pPr>
        <w:pStyle w:val="ListParagraph"/>
        <w:numPr>
          <w:ilvl w:val="0"/>
          <w:numId w:val="3"/>
        </w:numPr>
        <w:spacing w:after="80"/>
      </w:pPr>
      <w:r>
        <w:rPr>
          <w:b/>
          <w:bCs/>
          <w:sz w:val="20"/>
          <w:szCs w:val="20"/>
        </w:rPr>
        <w:t xml:space="preserve">Gestión (2025). </w:t>
      </w:r>
      <w:r>
        <w:rPr>
          <w:sz w:val="20"/>
          <w:szCs w:val="20"/>
        </w:rPr>
        <w:t xml:space="preserve">Noticias sobre FIL (Editorial Planeta y expectativas de feria). Prensa. </w:t>
      </w:r>
      <w:hyperlink w:history="1" r:id="rIduoo5ng6fa14wcms9inujl">
        <w:r>
          <w:rPr>
            <w:rStyle w:val="Hyperlink"/>
            <w:sz w:val="18"/>
            <w:szCs w:val="18"/>
          </w:rPr>
          <w:t xml:space="preserve">https://gestion.pe/noticias/fil/</w:t>
        </w:r>
      </w:hyperlink>
    </w:p>
    <w:p>
      <w:pPr>
        <w:pStyle w:val="ListParagraph"/>
        <w:numPr>
          <w:ilvl w:val="0"/>
          <w:numId w:val="3"/>
        </w:numPr>
        <w:spacing w:after="80"/>
      </w:pPr>
      <w:r>
        <w:rPr>
          <w:b/>
          <w:bCs/>
          <w:sz w:val="20"/>
          <w:szCs w:val="20"/>
        </w:rPr>
        <w:t xml:space="preserve">Gestión. </w:t>
      </w:r>
      <w:r>
        <w:rPr>
          <w:sz w:val="20"/>
          <w:szCs w:val="20"/>
        </w:rPr>
        <w:t xml:space="preserve">Noticias sobre libros (Crisol 40 tiendas; Ibero; Buscalibre). Prensa (fecha de nota no verificada). </w:t>
      </w:r>
      <w:hyperlink w:history="1" r:id="rIdycmdg3oj_lyjlb8n-mmti">
        <w:r>
          <w:rPr>
            <w:rStyle w:val="Hyperlink"/>
            <w:sz w:val="18"/>
            <w:szCs w:val="18"/>
          </w:rPr>
          <w:t xml:space="preserve">https://gestion.pe/noticias/libros/</w:t>
        </w:r>
      </w:hyperlink>
    </w:p>
    <w:p>
      <w:pPr>
        <w:pStyle w:val="ListParagraph"/>
        <w:numPr>
          <w:ilvl w:val="0"/>
          <w:numId w:val="3"/>
        </w:numPr>
        <w:spacing w:after="80"/>
      </w:pPr>
      <w:r>
        <w:rPr>
          <w:b/>
          <w:bCs/>
          <w:sz w:val="20"/>
          <w:szCs w:val="20"/>
        </w:rPr>
        <w:t xml:space="preserve">Universidad César Vallejo (2014). </w:t>
      </w:r>
      <w:r>
        <w:rPr>
          <w:sz w:val="20"/>
          <w:szCs w:val="20"/>
        </w:rPr>
        <w:t xml:space="preserve">Influencia del plan lector en la comprensión lectora (PRONOEI, Carmen de la Legua) – diseño pre-experimental, n=20. Tesis. </w:t>
      </w:r>
      <w:hyperlink w:history="1" r:id="rIdrhcua8osu7eyu3lsqwx05">
        <w:r>
          <w:rPr>
            <w:rStyle w:val="Hyperlink"/>
            <w:sz w:val="18"/>
            <w:szCs w:val="18"/>
          </w:rPr>
          <w:t xml:space="preserve">https://repositorio.ucv.edu.pe/handle/20.500.12692/148949</w:t>
        </w:r>
      </w:hyperlink>
    </w:p>
    <w:p>
      <w:pPr>
        <w:pStyle w:val="ListParagraph"/>
        <w:numPr>
          <w:ilvl w:val="0"/>
          <w:numId w:val="3"/>
        </w:numPr>
        <w:spacing w:after="80"/>
      </w:pPr>
      <w:r>
        <w:rPr>
          <w:b/>
          <w:bCs/>
          <w:sz w:val="20"/>
          <w:szCs w:val="20"/>
        </w:rPr>
        <w:t xml:space="preserve">UNJFSC (2024). </w:t>
      </w:r>
      <w:r>
        <w:rPr>
          <w:sz w:val="20"/>
          <w:szCs w:val="20"/>
        </w:rPr>
        <w:t xml:space="preserve">El plan lector lúdico como estrategia (IE 20367, Huaycho) – diseño descriptivo no experimental. Tesis. </w:t>
      </w:r>
      <w:hyperlink w:history="1" r:id="rIdxcukqk23xbb_ce0i0s5_c">
        <w:r>
          <w:rPr>
            <w:rStyle w:val="Hyperlink"/>
            <w:sz w:val="18"/>
            <w:szCs w:val="18"/>
          </w:rPr>
          <w:t xml:space="preserve">https://repositorio.unjfsc.edu.pe/handle/20.500.14067/10186</w:t>
        </w:r>
      </w:hyperlink>
    </w:p>
    <w:p>
      <w:pPr>
        <w:pStyle w:val="ListParagraph"/>
        <w:numPr>
          <w:ilvl w:val="0"/>
          <w:numId w:val="3"/>
        </w:numPr>
        <w:spacing w:after="80"/>
      </w:pPr>
      <w:r>
        <w:rPr>
          <w:b/>
          <w:bCs/>
          <w:sz w:val="20"/>
          <w:szCs w:val="20"/>
        </w:rPr>
        <w:t xml:space="preserve">UGEL 07 / Minedu (2024). </w:t>
      </w:r>
      <w:r>
        <w:rPr>
          <w:sz w:val="20"/>
          <w:szCs w:val="20"/>
        </w:rPr>
        <w:t xml:space="preserve">Disposiciones para la organización e implementación del Plan Lector (material UGEL 07). Oficial. </w:t>
      </w:r>
      <w:hyperlink w:history="1" r:id="rIda24kn-f89hrumc9uuou9x">
        <w:r>
          <w:rPr>
            <w:rStyle w:val="Hyperlink"/>
            <w:sz w:val="18"/>
            <w:szCs w:val="18"/>
          </w:rPr>
          <w:t xml:space="preserve">https://www.ugel07.gob.pe/wp-content/uploads/2024/04/ANEXO-4.pdf</w:t>
        </w:r>
      </w:hyperlink>
    </w:p>
    <w:p>
      <w:pPr>
        <w:pStyle w:val="ListParagraph"/>
        <w:numPr>
          <w:ilvl w:val="0"/>
          <w:numId w:val="3"/>
        </w:numPr>
        <w:spacing w:after="80"/>
      </w:pPr>
      <w:r>
        <w:rPr>
          <w:b/>
          <w:bCs/>
          <w:sz w:val="20"/>
          <w:szCs w:val="20"/>
        </w:rPr>
        <w:t xml:space="preserve">Revista Chakiñan (2026). </w:t>
      </w:r>
      <w:r>
        <w:rPr>
          <w:sz w:val="20"/>
          <w:szCs w:val="20"/>
        </w:rPr>
        <w:t xml:space="preserve">Entre páginas y pantallas: tendencias y factores del hábito lector peruano (análisis microdatos ENL). Académico. </w:t>
      </w:r>
      <w:hyperlink w:history="1" r:id="rId0_hl9ytlj7ojzsrwuttc7">
        <w:r>
          <w:rPr>
            <w:rStyle w:val="Hyperlink"/>
            <w:sz w:val="18"/>
            <w:szCs w:val="18"/>
          </w:rPr>
          <w:t xml:space="preserve">https://chakinan.unach.edu.ec/index.php/chakinan/article/view/1457</w:t>
        </w:r>
      </w:hyperlink>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6675"/>
        <w:sz w:val="16"/>
        <w:szCs w:val="16"/>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F6675"/>
        <w:sz w:val="16"/>
        <w:szCs w:val="16"/>
      </w:rPr>
      <w:t xml:space="preserve">El libro y la lectura en el Perú – octubre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Georgia" w:cs="Georgia" w:eastAsia="Georgia" w:hAnsi="Georgia"/>
      <w:b/>
      <w:bCs/>
      <w:color w:val="1E2A4A"/>
      <w:sz w:val="34"/>
      <w:szCs w:val="34"/>
    </w:rPr>
  </w:style>
  <w:style w:type="paragraph" w:styleId="Heading2">
    <w:name w:val="Heading 2"/>
    <w:basedOn w:val="Normal"/>
    <w:next w:val="Normal"/>
    <w:qFormat/>
    <w:pPr>
      <w:spacing w:after="120" w:before="240"/>
      <w:outlineLvl w:val="1"/>
    </w:pPr>
    <w:rPr>
      <w:rFonts w:ascii="Georgia" w:cs="Georgia" w:eastAsia="Georgia" w:hAnsi="Georgia"/>
      <w:b/>
      <w:bCs/>
      <w:color w:val="1E2A4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5r6rjenqa75-gnvqti9y" Type="http://schemas.openxmlformats.org/officeDocument/2006/relationships/hyperlink" Target="https://www.inei.gob.pe/media/MenuRecursivo/publicaciones_digitales/Est/Lib1897/libro.pdf" TargetMode="External"/><Relationship Id="rIdjl-pstm7rffr8wk0cl4cf" Type="http://schemas.openxmlformats.org/officeDocument/2006/relationships/hyperlink" Target="https://panamericana.pe/cultura/379229-encuesta-nacional-lectura-2022-47-3-peruanos-leyo-menos-libro" TargetMode="External"/><Relationship Id="rIdnif5q04xknv3vcudwrlwf" Type="http://schemas.openxmlformats.org/officeDocument/2006/relationships/hyperlink" Target="https://cerlalc.org/wp-content/uploads/2026/07/Panoram-de-la-actividad-editorial-2019-2024_Cerlalc_Agosto.pdf" TargetMode="External"/><Relationship Id="rId8ffaxejjema998ii4r9ab" Type="http://schemas.openxmlformats.org/officeDocument/2006/relationships/hyperlink" Target="https://larepublica.pe/sociedad/2025/04/14/minedu-revela-que-solo-3-de-cada-10-escolares-de-cuarto-de-primaria-entiende-lo-que-lee-brecha-se-intensifica-en-regiones-amazonicas-746998" TargetMode="External"/><Relationship Id="rIdzbykyvxigudwop1mjajec" Type="http://schemas.openxmlformats.org/officeDocument/2006/relationships/hyperlink" Target="https://lampadia.com/?p=68506" TargetMode="External"/><Relationship Id="rIdpokvoeic2gajqazjvlzsf" Type="http://schemas.openxmlformats.org/officeDocument/2006/relationships/hyperlink" Target="https://diariocorreo.pe/edicion/ica/ica-solo-3-de-cada-10-estudiantes-de-cuarto-de-primaria-alcanzo-resultados-satisfactorios-en-matematicas-noticia/" TargetMode="External"/><Relationship Id="rIdmaloixrkqx92pcq9zapa4" Type="http://schemas.openxmlformats.org/officeDocument/2006/relationships/hyperlink" Target="https://dreayacucho.gob.pe/storage/documentos/2025/notas-de-prensa/01JRBPQRKTPFWJY6YPVBZ2MQMS.pdf" TargetMode="External"/><Relationship Id="rIdmxtdtnf9wbmhhnuagohzm" Type="http://schemas.openxmlformats.org/officeDocument/2006/relationships/hyperlink" Target="https://repositorio.minedu.gob.pe/handle/20.500.12799/12773" TargetMode="External"/><Relationship Id="rIdlnc9hobqvz_pmj6kbz6eu" Type="http://schemas.openxmlformats.org/officeDocument/2006/relationships/hyperlink" Target="https://datareportal.com/reports/digital-2026-peru" TargetMode="External"/><Relationship Id="rIdzyuxxbicqgq34c3xmubpo" Type="http://schemas.openxmlformats.org/officeDocument/2006/relationships/hyperlink" Target="https://gestion.pe/economia/empresas/los-factores-detras-que-dispararan-la-facturacion-de-librerias-en-dos-digitos-este-ano-cpl-empresas-librerias-ley-del-libro-peru-noticia/" TargetMode="External"/><Relationship Id="rIdxiiiev-_kkf_w82gq4iky" Type="http://schemas.openxmlformats.org/officeDocument/2006/relationships/hyperlink" Target="https://gestion.pe/peru/lectura-en-caida-las-expectativas-del-mercado-editorial-peruano-noticia/" TargetMode="External"/><Relationship Id="rIdkmczq8gm8ewff5ctvew6h" Type="http://schemas.openxmlformats.org/officeDocument/2006/relationships/hyperlink" Target="https://andina.pe/agencia/noticia-mercado-libros-mueve-al-ano-alrededor-s-700-millones-peru-769453.aspx" TargetMode="External"/><Relationship Id="rIds1lbl5wfwzyezeobnvslh" Type="http://schemas.openxmlformats.org/officeDocument/2006/relationships/hyperlink" Target="https://andina.pe/agencia/noticia-feria-internacional-del-libro-mercado-peruano-mueve-casi-s-900-millones-al-ano-749381.aspx" TargetMode="External"/><Relationship Id="rIdjlj6sloty7bk_ygykev4d" Type="http://schemas.openxmlformats.org/officeDocument/2006/relationships/hyperlink" Target="https://www.elperuano.pe/noticia/302024-lo-que-nos-dejo-la-fil-lima-2026" TargetMode="External"/><Relationship Id="rIdfcvtfixbkowmox-x37nu3" Type="http://schemas.openxmlformats.org/officeDocument/2006/relationships/hyperlink" Target="https://caretas.pe/?p=761243" TargetMode="External"/><Relationship Id="rIda5efslcfs53wy5qa6lqxy" Type="http://schemas.openxmlformats.org/officeDocument/2006/relationships/hyperlink" Target="https://www.contadoresyempresas.com.pe/aprueban-reglamento-de-los-beneficios-tributarios-de-la-ley-del-libro/" TargetMode="External"/><Relationship Id="rIdg_egu29onm1yoywckq-b2" Type="http://schemas.openxmlformats.org/officeDocument/2006/relationships/hyperlink" Target="https://publishnews.es/reglamento-ley-libro-peru/" TargetMode="External"/><Relationship Id="rId8you3qd8lmoglwbzqzopu" Type="http://schemas.openxmlformats.org/officeDocument/2006/relationships/hyperlink" Target="https://bybconsultores.pe/impuesto-a-la-renta/comun-igv-renta/prorroga-de-las-exoneraciones-del-igv-vigencia-de-los-apendices-i-y-ii-hasta-el-31-de-diciembre-de-2028/" TargetMode="External"/><Relationship Id="rIds2x6trae3ie5cw1yff-zg" Type="http://schemas.openxmlformats.org/officeDocument/2006/relationships/hyperlink" Target="https://www.bnp.gob.pe/documentos/bibliografia-peruana/estadisticos/produccion-editorial-por-departamentos-sin-lima-2019.pdf" TargetMode="External"/><Relationship Id="rIdxfz8hmoals9enhhd8toju" Type="http://schemas.openxmlformats.org/officeDocument/2006/relationships/hyperlink" Target="https://www.bnp.gob.pe/?p=38512" TargetMode="External"/><Relationship Id="rId3g1zrq29pbhiieyebpysn" Type="http://schemas.openxmlformats.org/officeDocument/2006/relationships/hyperlink" Target="https://www.bnp.gob.pe/?p=40405" TargetMode="External"/><Relationship Id="rIdu9w8teqejixh6locyvj4h" Type="http://schemas.openxmlformats.org/officeDocument/2006/relationships/hyperlink" Target="https://criticaydebate.iep.org.pe/noticias/hay-una-burbuja-de-libros-de-ciencias-sociales-en-el-peru/" TargetMode="External"/><Relationship Id="rIduoo5ng6fa14wcms9inujl" Type="http://schemas.openxmlformats.org/officeDocument/2006/relationships/hyperlink" Target="https://gestion.pe/noticias/fil/" TargetMode="External"/><Relationship Id="rIdycmdg3oj_lyjlb8n-mmti" Type="http://schemas.openxmlformats.org/officeDocument/2006/relationships/hyperlink" Target="https://gestion.pe/noticias/libros/" TargetMode="External"/><Relationship Id="rIdrhcua8osu7eyu3lsqwx05" Type="http://schemas.openxmlformats.org/officeDocument/2006/relationships/hyperlink" Target="https://repositorio.ucv.edu.pe/handle/20.500.12692/148949" TargetMode="External"/><Relationship Id="rIdxcukqk23xbb_ce0i0s5_c" Type="http://schemas.openxmlformats.org/officeDocument/2006/relationships/hyperlink" Target="https://repositorio.unjfsc.edu.pe/handle/20.500.14067/10186" TargetMode="External"/><Relationship Id="rIda24kn-f89hrumc9uuou9x" Type="http://schemas.openxmlformats.org/officeDocument/2006/relationships/hyperlink" Target="https://www.ugel07.gob.pe/wp-content/uploads/2024/04/ANEXO-4.pdf" TargetMode="External"/><Relationship Id="rId0_hl9ytlj7ojzsrwuttc7" Type="http://schemas.openxmlformats.org/officeDocument/2006/relationships/hyperlink" Target="https://chakinan.unach.edu.ec/index.php/chakinan/article/view/1457"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libro y la lectura en el Perú</dc:title>
  <dc:creator>Estudio independiente</dc:creator>
  <dc:description>Diagnóstico del mercado y recomendaciones de política pública e innovación por actor</dc:description>
  <cp:lastModifiedBy>Un-named</cp:lastModifiedBy>
  <cp:revision>1</cp:revision>
  <dcterms:created xsi:type="dcterms:W3CDTF">2026-10-06T14:20:38.146Z</dcterms:created>
  <dcterms:modified xsi:type="dcterms:W3CDTF">2026-10-06T14:20:38.146Z</dcterms:modified>
</cp:coreProperties>
</file>

<file path=docProps/custom.xml><?xml version="1.0" encoding="utf-8"?>
<Properties xmlns="http://schemas.openxmlformats.org/officeDocument/2006/custom-properties" xmlns:vt="http://schemas.openxmlformats.org/officeDocument/2006/docPropsVTypes"/>
</file>